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D4C23" w14:textId="387239A6" w:rsidR="00071473" w:rsidRDefault="003D1603" w:rsidP="00071473">
      <w:pPr>
        <w:spacing w:after="0" w:line="240" w:lineRule="auto"/>
        <w:contextualSpacing/>
        <w:jc w:val="center"/>
        <w:rPr>
          <w:rFonts w:ascii="Times New Roman" w:hAnsi="Times New Roman"/>
          <w:b/>
          <w:sz w:val="24"/>
          <w:lang w:val="en-US"/>
        </w:rPr>
      </w:pPr>
      <w:r w:rsidRPr="003D1603">
        <w:rPr>
          <w:rFonts w:ascii="Times New Roman" w:hAnsi="Times New Roman"/>
          <w:b/>
          <w:sz w:val="24"/>
          <w:lang w:val="en-US"/>
        </w:rPr>
        <w:t>KARAKTERISTIK MISKONSEPSI MAHASISWA PADA KONSEP HIMPUNAN DITINJAU DARI KEMAMPUANNYA DALAM MENGKONSRUKSI BUKTI MATEMATIS</w:t>
      </w:r>
    </w:p>
    <w:p w14:paraId="111A7896" w14:textId="77777777" w:rsidR="0034317C" w:rsidRPr="00950350" w:rsidRDefault="0034317C" w:rsidP="00071473">
      <w:pPr>
        <w:spacing w:after="0" w:line="240" w:lineRule="auto"/>
        <w:contextualSpacing/>
        <w:jc w:val="center"/>
        <w:rPr>
          <w:rFonts w:ascii="Times New Roman" w:hAnsi="Times New Roman"/>
          <w:b/>
          <w:bCs/>
          <w:lang w:val="en-US"/>
        </w:rPr>
      </w:pPr>
      <w:bookmarkStart w:id="0" w:name="_GoBack"/>
      <w:bookmarkEnd w:id="0"/>
    </w:p>
    <w:p w14:paraId="35BEB049" w14:textId="119AD3B8" w:rsidR="00071473" w:rsidRPr="004E108D" w:rsidRDefault="003D1603" w:rsidP="00DD707F">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rPr>
        <w:t>Arif Hidayatul Khusna</w:t>
      </w:r>
      <w:r w:rsidR="00071473">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lang w:val="en-US"/>
        </w:rPr>
        <w:t>*</w:t>
      </w:r>
      <w:r w:rsidR="00DD707F">
        <w:rPr>
          <w:rFonts w:ascii="Times New Roman" w:hAnsi="Times New Roman" w:cs="Times New Roman"/>
          <w:b/>
          <w:color w:val="000000" w:themeColor="text1"/>
          <w:sz w:val="24"/>
          <w:szCs w:val="24"/>
          <w:lang w:val="en-US"/>
        </w:rPr>
        <w:t>, Alfiani Athma Putri Rosyadi</w:t>
      </w:r>
      <w:r w:rsidR="00DD707F">
        <w:rPr>
          <w:rFonts w:ascii="Times New Roman" w:hAnsi="Times New Roman" w:cs="Times New Roman"/>
          <w:b/>
          <w:color w:val="000000" w:themeColor="text1"/>
          <w:sz w:val="24"/>
          <w:szCs w:val="24"/>
          <w:vertAlign w:val="superscript"/>
          <w:lang w:val="en-US"/>
        </w:rPr>
        <w:t>2</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2AE787CD" w:rsidR="00071473" w:rsidRPr="003D1603" w:rsidRDefault="003D1603"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071473">
        <w:rPr>
          <w:rFonts w:ascii="Times New Roman" w:hAnsi="Times New Roman" w:cs="Times New Roman"/>
          <w:color w:val="000000" w:themeColor="text1"/>
          <w:sz w:val="24"/>
          <w:szCs w:val="24"/>
          <w:vertAlign w:val="superscript"/>
          <w:lang w:val="en-US"/>
        </w:rPr>
        <w:t xml:space="preserve"> </w:t>
      </w:r>
      <w:r>
        <w:rPr>
          <w:rFonts w:ascii="Times New Roman" w:hAnsi="Times New Roman" w:cs="Times New Roman"/>
          <w:color w:val="000000" w:themeColor="text1"/>
          <w:sz w:val="24"/>
          <w:szCs w:val="24"/>
          <w:lang w:val="en-US"/>
        </w:rPr>
        <w:t>Pendidikan Matematika, Universitas Muhammadiyah Malang, Malang, Indonesia</w:t>
      </w:r>
    </w:p>
    <w:p w14:paraId="1D01D6D1" w14:textId="2730E861" w:rsidR="003D6122" w:rsidRPr="003D6122"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p>
    <w:p w14:paraId="6A9AE498" w14:textId="459A47C4" w:rsidR="003D6122" w:rsidRPr="003D1603"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t xml:space="preserve"> </w:t>
      </w:r>
      <w:r>
        <w:rPr>
          <w:sz w:val="18"/>
          <w:szCs w:val="18"/>
        </w:rPr>
        <w:t>*</w:t>
      </w:r>
      <w:r w:rsidR="00F459E2">
        <w:rPr>
          <w:rFonts w:ascii="Times New Roman" w:hAnsi="Times New Roman" w:cs="Times New Roman"/>
          <w:i/>
          <w:iCs/>
          <w:sz w:val="18"/>
          <w:szCs w:val="18"/>
        </w:rPr>
        <w:t xml:space="preserve">Corresponding author. </w:t>
      </w:r>
      <w:r w:rsidR="003D1603">
        <w:rPr>
          <w:rFonts w:ascii="Times New Roman" w:hAnsi="Times New Roman" w:cs="Times New Roman"/>
          <w:i/>
          <w:iCs/>
          <w:sz w:val="18"/>
          <w:szCs w:val="18"/>
          <w:lang w:val="en-US"/>
        </w:rPr>
        <w:t>Universitas Muhammadiyah Malang, Malang, Indonesia</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65D74D53" w:rsidR="00340E1B" w:rsidRPr="005C620E" w:rsidRDefault="00EE2025" w:rsidP="003D1603">
            <w:pPr>
              <w:tabs>
                <w:tab w:val="left" w:pos="3119"/>
              </w:tabs>
              <w:rPr>
                <w:rStyle w:val="hps"/>
                <w:rFonts w:ascii="Times New Roman" w:hAnsi="Times New Roman" w:cs="Times New Roman"/>
                <w:i/>
                <w:sz w:val="24"/>
                <w:szCs w:val="24"/>
                <w:vertAlign w:val="superscript"/>
                <w:lang w:val="en-US"/>
              </w:rPr>
            </w:pPr>
            <w:hyperlink r:id="rId8" w:history="1">
              <w:r w:rsidR="00306990" w:rsidRPr="002F6891">
                <w:rPr>
                  <w:rStyle w:val="Hyperlink"/>
                  <w:rFonts w:ascii="Times New Roman" w:hAnsi="Times New Roman" w:cs="Times New Roman"/>
                  <w:i/>
                  <w:sz w:val="24"/>
                  <w:szCs w:val="24"/>
                  <w:lang w:val="en-US"/>
                </w:rPr>
                <w:t>khusna@umm.ac.id</w:t>
              </w:r>
            </w:hyperlink>
            <w:r w:rsidR="00306990">
              <w:rPr>
                <w:rFonts w:ascii="Times New Roman" w:hAnsi="Times New Roman" w:cs="Times New Roman"/>
                <w:i/>
                <w:sz w:val="24"/>
                <w:szCs w:val="24"/>
                <w:lang w:val="en-US"/>
              </w:rPr>
              <w:t xml:space="preserve"> </w:t>
            </w:r>
            <w:r w:rsidR="005C620E">
              <w:rPr>
                <w:rStyle w:val="hps"/>
                <w:vertAlign w:val="superscript"/>
                <w:lang w:val="en-US"/>
              </w:rPr>
              <w:t xml:space="preserve"> </w:t>
            </w:r>
            <w:r w:rsidR="005C620E">
              <w:rPr>
                <w:rStyle w:val="hps"/>
                <w:rFonts w:ascii="Times New Roman" w:hAnsi="Times New Roman" w:cs="Times New Roman"/>
                <w:i/>
                <w:sz w:val="24"/>
                <w:szCs w:val="24"/>
                <w:vertAlign w:val="superscript"/>
                <w:lang w:val="en-US"/>
              </w:rPr>
              <w:t>1)</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4ABFF80E" w:rsidR="00340E1B" w:rsidRPr="005C620E" w:rsidRDefault="00340E1B" w:rsidP="00340E1B">
            <w:pPr>
              <w:tabs>
                <w:tab w:val="left" w:pos="3119"/>
              </w:tabs>
              <w:rPr>
                <w:rStyle w:val="hps"/>
                <w:rFonts w:ascii="Times New Roman" w:hAnsi="Times New Roman" w:cs="Times New Roman"/>
                <w:i/>
                <w:sz w:val="24"/>
                <w:szCs w:val="24"/>
                <w:vertAlign w:val="superscript"/>
                <w:lang w:val="en-US"/>
              </w:rPr>
            </w:pP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419C005C" w:rsidR="00340E1B" w:rsidRPr="004E1F7E" w:rsidRDefault="00340E1B" w:rsidP="00340E1B">
            <w:pPr>
              <w:tabs>
                <w:tab w:val="left" w:pos="3119"/>
              </w:tabs>
              <w:rPr>
                <w:rStyle w:val="hps"/>
                <w:rFonts w:ascii="Times New Roman" w:hAnsi="Times New Roman" w:cs="Times New Roman"/>
                <w:i/>
                <w:sz w:val="24"/>
                <w:szCs w:val="24"/>
                <w:vertAlign w:val="superscript"/>
                <w:lang w:val="en-US"/>
              </w:rPr>
            </w:pPr>
          </w:p>
        </w:tc>
      </w:tr>
    </w:tbl>
    <w:p w14:paraId="43AEDE45" w14:textId="77777777" w:rsidR="00340E1B" w:rsidRDefault="00340E1B"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3F298F7B" w:rsidR="0050411D" w:rsidRPr="004E108D" w:rsidRDefault="0050411D" w:rsidP="0050411D">
      <w:pPr>
        <w:spacing w:after="0" w:line="288" w:lineRule="auto"/>
        <w:contextualSpacing/>
        <w:jc w:val="center"/>
        <w:rPr>
          <w:rFonts w:ascii="Times New Roman" w:hAnsi="Times New Roman"/>
          <w:sz w:val="24"/>
          <w:lang w:val="en-US"/>
        </w:rPr>
      </w:pPr>
      <w:r>
        <w:rPr>
          <w:rFonts w:ascii="Times New Roman" w:hAnsi="Times New Roman"/>
          <w:b/>
          <w:sz w:val="24"/>
          <w:lang w:val="en-US"/>
        </w:rPr>
        <w:t>Abstrak</w:t>
      </w:r>
    </w:p>
    <w:p w14:paraId="4A7A6363" w14:textId="66ACA24F" w:rsidR="00A02C8E" w:rsidRPr="00A46622" w:rsidRDefault="00A46622" w:rsidP="00A46622">
      <w:pPr>
        <w:spacing w:after="0" w:line="240" w:lineRule="auto"/>
        <w:contextualSpacing/>
        <w:jc w:val="both"/>
        <w:rPr>
          <w:rFonts w:ascii="Times New Roman" w:hAnsi="Times New Roman"/>
          <w:sz w:val="20"/>
          <w:lang w:val="en-US"/>
        </w:rPr>
      </w:pPr>
      <w:r w:rsidRPr="00A46622">
        <w:rPr>
          <w:rFonts w:ascii="Times New Roman" w:hAnsi="Times New Roman"/>
          <w:sz w:val="20"/>
          <w:lang w:val="en-US"/>
        </w:rPr>
        <w:t>Miskonsepsi adalah kesalahpahaman yang disebabkan adanya pemikiran yang tidak didasarkan pada informasi yang tepat.</w:t>
      </w:r>
      <w:r>
        <w:rPr>
          <w:rFonts w:ascii="Times New Roman" w:hAnsi="Times New Roman"/>
          <w:sz w:val="20"/>
          <w:lang w:val="en-US"/>
        </w:rPr>
        <w:t xml:space="preserve"> Tujuan dari penelitian ini adalah </w:t>
      </w:r>
      <w:r w:rsidRPr="00A46622">
        <w:rPr>
          <w:rFonts w:ascii="Times New Roman" w:hAnsi="Times New Roman"/>
          <w:sz w:val="20"/>
          <w:lang w:val="en-US"/>
        </w:rPr>
        <w:t xml:space="preserve">untuk mendiskripsikan </w:t>
      </w:r>
      <w:proofErr w:type="gramStart"/>
      <w:r w:rsidRPr="00A46622">
        <w:rPr>
          <w:rFonts w:ascii="Times New Roman" w:hAnsi="Times New Roman"/>
          <w:sz w:val="20"/>
          <w:lang w:val="en-US"/>
        </w:rPr>
        <w:t>miskonsepsi  mahasiswa</w:t>
      </w:r>
      <w:proofErr w:type="gramEnd"/>
      <w:r w:rsidRPr="00A46622">
        <w:rPr>
          <w:rFonts w:ascii="Times New Roman" w:hAnsi="Times New Roman"/>
          <w:sz w:val="20"/>
          <w:lang w:val="en-US"/>
        </w:rPr>
        <w:t xml:space="preserve"> pada konsep himpunan ditinjau dari kemampuannya dalam mengkonstruksi bukti.</w:t>
      </w:r>
      <w:r>
        <w:rPr>
          <w:rFonts w:ascii="Times New Roman" w:hAnsi="Times New Roman"/>
          <w:sz w:val="20"/>
          <w:lang w:val="en-US"/>
        </w:rPr>
        <w:t xml:space="preserve"> Penelitian ini merupakan penelitian deskriptif dengan pendekatan kualitatif. Instrumen yang digunakan adalah tes untuk memperoleh data miskonsepsi, dan pedoman wawancara untuk mendukung temuan miskonsepsi pada instrument tes. Hasil penelitian menunjukkan bahwa </w:t>
      </w:r>
      <w:r w:rsidRPr="00A46622">
        <w:rPr>
          <w:rFonts w:ascii="Times New Roman" w:hAnsi="Times New Roman"/>
          <w:sz w:val="20"/>
          <w:lang w:val="en-US"/>
        </w:rPr>
        <w:t>Pada kriteria general argument miskonsepsi yang tejadi adalah ketidaksesuaian penafsiran konsep himpunan kosong dengan makna konsep himpunan kosong yang sebenarnya serta ketidak akuratan konsep subset yang dipahami. Pada subjek invalid general argument mengalami miskonsepsi berupa ketidak akuratan dalam memahami konsep anggota himpunan dan subset. Miskonsepsi yang terjadi pada subjek empirical argument adalah ketidak tepatan dalam menghubungkan konsep himpunan dan himpunan kosong, ketidaktepatan dalam mendiskripsikan makna simbol himpunan kosong, dan ketidak akuratan pada konsep subset. Sedangkan pada subjek non genuine argument miskonsepsi berupa ketidak tepatan dalam menafsirkan konsep anggota himpunan serta tidak dapat menghubungkan konsep negasi implikasi pada definisi subset, dan ketidak tepatan dalam memaknai simbol himpunan kosong.</w:t>
      </w:r>
    </w:p>
    <w:p w14:paraId="5443B27E" w14:textId="41BC3811" w:rsidR="00071473" w:rsidRPr="00A46622" w:rsidRDefault="0050411D" w:rsidP="00A02C8E">
      <w:pPr>
        <w:spacing w:after="0" w:line="288" w:lineRule="auto"/>
        <w:contextualSpacing/>
        <w:rPr>
          <w:rStyle w:val="hps"/>
          <w:rFonts w:ascii="Times New Roman" w:hAnsi="Times New Roman"/>
          <w:sz w:val="20"/>
          <w:lang w:val="en-US"/>
        </w:rPr>
      </w:pPr>
      <w:r>
        <w:rPr>
          <w:rFonts w:ascii="Times New Roman" w:hAnsi="Times New Roman"/>
          <w:b/>
          <w:sz w:val="20"/>
          <w:lang w:val="en-US"/>
        </w:rPr>
        <w:t>Kata kunci</w:t>
      </w:r>
      <w:r w:rsidRPr="0050411D">
        <w:rPr>
          <w:rFonts w:ascii="Times New Roman" w:hAnsi="Times New Roman"/>
          <w:sz w:val="20"/>
        </w:rPr>
        <w:t xml:space="preserve">: </w:t>
      </w:r>
      <w:r w:rsidR="00A46622">
        <w:rPr>
          <w:rFonts w:ascii="Times New Roman" w:hAnsi="Times New Roman"/>
          <w:sz w:val="20"/>
          <w:lang w:val="en-US"/>
        </w:rPr>
        <w:t>miskonsepsi, himpunan, mengkonstruksi bukti matematis</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5215511D"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p>
    <w:p w14:paraId="3E6F9C71" w14:textId="69E035A7" w:rsidR="00A02C8E" w:rsidRPr="00A46622" w:rsidRDefault="00A46622" w:rsidP="00A02C8E">
      <w:pPr>
        <w:spacing w:after="0" w:line="240" w:lineRule="auto"/>
        <w:contextualSpacing/>
        <w:jc w:val="both"/>
        <w:rPr>
          <w:rFonts w:ascii="Times New Roman" w:hAnsi="Times New Roman"/>
          <w:i/>
          <w:sz w:val="20"/>
        </w:rPr>
      </w:pPr>
      <w:r w:rsidRPr="00A46622">
        <w:rPr>
          <w:rFonts w:ascii="Times New Roman" w:hAnsi="Times New Roman"/>
          <w:i/>
          <w:sz w:val="20"/>
        </w:rPr>
        <w:t>Misconception is a misunderstanding caused by thoughts that are not based on precise information. The purpose of this study was to describe students' misconceptions on set concepts in terms of their ability to construct evidence. This research is a descriptive study with a qualitative approach. The instrument used was a test to obtain misconception data, and an interview guide to support the findings of misconceptions on the test instrument. The results showed that the criteria for general argument misconceptions that occurred were inconsistencies in the interpretation of the empty set concept with the actual meaning of the empty set concept and the inaccuracy of the understood subset concept. In the invalid general argument subject, there is a misconception in the form of inaccuracy in understanding the concept of set members and subsets. The misconceptions that occur in the subject of the empirical argument are the inaccuracies in connecting the concept of the empty set and the empty set, the inaccuracy in describing the meaning of the empty set symbol, and the inaccuracy in the concept of the subset. Whereas in the subject of non genuine arguments, misconceptions were in the form of inaccuracies in interpreting the concept of set members and unable to connect the concept of negation implications in the definition of subsets, and inaccuracies in interpreting the empty set symbols.</w:t>
      </w:r>
    </w:p>
    <w:p w14:paraId="5AD16F32" w14:textId="1F1A7FBE"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A46622">
        <w:rPr>
          <w:rFonts w:ascii="Times New Roman" w:hAnsi="Times New Roman"/>
          <w:i/>
          <w:sz w:val="20"/>
          <w:lang w:val="en-US"/>
        </w:rPr>
        <w:t xml:space="preserve">misconceptions; sets; </w:t>
      </w:r>
      <w:r w:rsidR="00A46622" w:rsidRPr="00A46622">
        <w:rPr>
          <w:rFonts w:ascii="Times New Roman" w:hAnsi="Times New Roman"/>
          <w:i/>
          <w:sz w:val="20"/>
          <w:lang w:val="en-US"/>
        </w:rPr>
        <w:t>constructs mathematical proofs</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6192" behindDoc="1" locked="0" layoutInCell="1" allowOverlap="1" wp14:anchorId="0E1C55E4" wp14:editId="57C6DD28">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0"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1"/>
          <w:headerReference w:type="default" r:id="rId12"/>
          <w:footerReference w:type="even" r:id="rId13"/>
          <w:type w:val="continuous"/>
          <w:pgSz w:w="11907" w:h="16839" w:code="9"/>
          <w:pgMar w:top="1701" w:right="1701" w:bottom="1701" w:left="1701" w:header="709" w:footer="709" w:gutter="0"/>
          <w:pgNumType w:start="92"/>
          <w:cols w:space="708"/>
          <w:docGrid w:linePitch="360"/>
        </w:sectPr>
      </w:pPr>
    </w:p>
    <w:p w14:paraId="198BA6C7" w14:textId="737B934A"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p>
    <w:p w14:paraId="7086233F" w14:textId="0F6E7556"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Karakter pengetahuan matematika itu bersifat ab</w:t>
      </w:r>
      <w:r w:rsidR="00DB3771">
        <w:rPr>
          <w:rFonts w:ascii="Times New Roman" w:hAnsi="Times New Roman" w:cs="Times New Roman"/>
          <w:sz w:val="24"/>
          <w:lang w:val="en-US"/>
        </w:rPr>
        <w:t xml:space="preserve">strak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{"citationItems":[{"id":"ITEM-1","itemData":{"DOI":"10.1016/j.sbspro.2010.12.020","ISSN":"18770428","abstract":"In Malaysia, like many other countries, problem solving is one of major aspect in mathematics curriculum which required students to apply and to integrate many mathematical concepts and skills as well as making decision. However, students were reported to have difficulties in mathematics problem solving. The focus of this study is to discuss the major mathematics skills and cognitive abilities in learning that caused the difficulties in mathematics problems-solving among students from students' point of view. The study was carried out on three focused group samples that were selected through purposeful sampling. A mixed qualitative and quantitative approach is used in order to have clearer understanding. Apart from the questionnaire given, focused group interviews were carried out. Interviews were recorded and transcribed. Data finding was analyzed descriptively. Data findings showed that respondents lacked in many mathematics skills such as number-fact, visual-spatial and information skills. Information skill was the most critical. The deficiency of these mathematics skills and also of cognitive abilities in learning inhibits the mathematics problem-solving. This understanding on how the deficits influenced the problem-solving is expected to give effective guide lines in preparing diagnostic instruments and learning modules in order to develop the mathematics skills. © 2010 Published by Elsevier Ltd.","author":[{"dropping-particle":"","family":"Tambychik","given":"Tarzimah","non-dropping-particle":"","parse-names":false,"suffix":""},{"dropping-particle":"","family":"Meerah","given":"Thamby Subahan Mohd","non-dropping-particle":"","parse-names":false,"suffix":""}],"container-title":"Procedia - Social and Behavioral Sciences","id":"ITEM-1","issued":{"date-parts":[["2010"]]},"page":"142-151","publisher":"ELSEVIER","publisher-place":"Malaysia","title":"Students' difficulties in mathematics problem-solving: What do they say?","type":"paper-conference"},"uris":["http://www.mendeley.com/documents/?uuid=550c4871-6e36-4458-9378-c1f560deb561"]}],"mendeley":{"formattedCitation":"(Tambychik &amp; Meerah, 2010)","plainTextFormattedCitation":"(Tambychik &amp; Meerah, 2010)","previouslyFormattedCitation":"(Tambychik &amp; Meerah, 2010)"},"properties":{"noteIndex":0},"schema":"https://github.com/citation-style-language/schema/raw/master/csl-citation.json"}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(Tambychik &amp; Meerah, 2010)</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Sifat abstrak inilah yang menyebabkan matematika diajarkan secara berjenjang dimulai dari tahapan yang sederhana hingga kompleks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{"citationItems":[{"id":"ITEM-1","itemData":{"DOI":"10.3390/app10041465","ISSN":"20763417","abstract":"This study developed an inheritance coding with Gagné-based learning hierarchy approach to building systems for assessing mathematics skills and diagnosing student learning problems. The proposed Gagné-based learning hierarchy approach combines Gagné learning hierarchy theory with an inheritance coding approach. First, Gagné learning hierarchy theory is used to generate test questions and learning path diagrams for a skills assessment system. To assess learning achievement, an inheritance coding approach is used to encode the test questions according to learning hierarchy paths. The analysis, design, development, implementation, and evaluation design model is used throughout the process of developing the assessment system. Statistical analyses of the test questions for assessing student learning achievement included expert validity, internal reliability, test-retest reliability, and parallel-form reliability. System performance questionnaires were also designed to survey the opinions of the students regarding the mathematics skills assessment system. The internal reliability of the overall questionnaire was also calculated. The experimental practical application of the assessment system, developed by the Gagné-based learning hierarchy approach, showed that it can accurately diagnose student learning barriers and provide learning suggestions for students and teachers.","author":[{"dropping-particle":"","family":"Tang","given":"Wei Ling","non-dropping-particle":"","parse-names":false,"suffix":""},{"dropping-particle":"","family":"Tsai","given":"Jinn Tsong","non-dropping-particle":"","parse-names":false,"suffix":""},{"dropping-particle":"","family":"Huang","given":"Ching Ying","non-dropping-particle":"","parse-names":false,"suffix":""}],"container-title":"Applied Sciences (Switzerland)","id":"ITEM-1","issue":"4","issued":{"date-parts":[["2020","2","1"]]},"publisher":"MDPI AG","title":"Inheritance coding with gagné-based learning hierarchy approach to developing mathematics skills assessment systems","type":"article-journal","volume":"10"},"uris":["http://www.mendeley.com/documents/?uuid=0005429c-814b-3228-a0d9-c27e764456d6"]}],"mendeley":{"formattedCitation":"(Tang, Tsai, &amp; Huang, 2020)","plainTextFormattedCitation":"(Tang, Tsai, &amp; Huang, 2020)","previouslyFormattedCitation":"(Tang, Tsai, &amp; Huang, 2020)"},"properties":{"noteIndex":0},"schema":"https://github.com/citation-style-language/schema/raw/master/csl-citation.json"}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(Tang, Tsai, &amp; Huang, 2020)</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 Dari yang bersifat kongkrit, semi abstrak menuju pada pengetahuan abstrak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{"citationItems":[{"id":"ITEM-1","itemData":{"DOI":"10.1016/j.dr.2015.07.007","ISSN":"02732297","abstract":"Piaget was a master at observing the routine behaviors children produce as they go from knowing less to knowing more about at a task, and making inferences not only about how the children understood the task at each point, but also about how they progressed from one point to the next. In this paper, I examine a routine behavior that Piaget overlooked - the spontaneous gestures speakers produce as they explain their solutions to a problem. These gestures are not mere hand waving. They reflect ideas that the speaker has about the problem, often ideas that are not found in that speaker's talk. But gesture can do more than reflect ideas - it can also change them. In this sense, gesture behaves like any other action; both gesture and action on objects facilitate learning problems on which training was given. However, only gesture promotes transferring the knowledge gained to problems that require generalization. Gesture is, in fact, a special kind of action in that it represents the world rather than directly manipulating the world (gesture does not move objects around). The mechanisms by which gesture and action promote learning may therefore differ - gesture is able to highlight components of an action that promote abstract learning while leaving out details that could tie learning to a specific context. Because it is both an action and a representation, gesture can serve as a bridge between the two and thus be a powerful tool for learning abstract ideas.","author":[{"dropping-particle":"","family":"Goldin-Meadow","given":"Susan","non-dropping-particle":"","parse-names":false,"suffix":""}],"container-title":"Developmental Review","id":"ITEM-1","issued":{"date-parts":[["2015"]]},"page":"167-184","publisher":"Mosby Inc.","title":"From action to abstraction: Gesture as a mechanism of change","type":"article-journal","volume":"38"},"uris":["http://www.mendeley.com/documents/?uuid=8a8286b1-9afe-3b0a-97ed-71bc778db602"]}],"mendeley":{"formattedCitation":"(Goldin-Meadow, 2015)","plainTextFormattedCitation":"(Goldin-Meadow, 2015)","previouslyFormattedCitation":"(Goldin-Meadow, 2015)"},"properties":{"noteIndex":0},"schema":"https://github.com/citation-style-language/schema/raw/master/csl-citation.json"}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(Goldin-Meadow, 2015)</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Pengetahuan matematika terbagi menjadi dua yaitu pengetahuan konseptual dan prosedural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{"citationItems":[{"id":"ITEM-1","itemData":{"DOI":"10.1037/a0017486","ISSN":"00220663","abstract":"Previous research on children's conceptual and procedural understanding of fractions, and other arithmetic skills, has led to contradictory conclusions. Some research suggests that children learn conceptual knowledge before procedural knowledge, some suggests that they learn procedural knowledge before conceptual knowledge, and other research suggests that they learn conceptual knowledge and procedural knowledge in tandem. We propose that these contradictory findings may be explained by considering individual differences in the way that children combine conceptual and procedural knowledge. A total of 318 Grade 4 and 5 students in the United Kingdom (mean age = 9.0 years) completed a measure of fractions understanding, which included subscales of conceptual and procedural knowledge. A cluster analysis identified 5 distinct clusters that differed from each other in terms of their relative success with conceptual and procedural problems. The existence of these clusters suggests that there may be more than one way in which children draw on conceptual and procedural knowledge. Some children rely more on procedural knowledge and others more on conceptual knowledge, but these differences may not be related to developmental processes. The children in the 5 clusters differed in their total fractions performance and in their understanding of intensive quantities. These differences suggest that children who rely on conceptual knowledge may have an advantage compared to those who rely more exclusively on procedural knowledge. © 2010 American Psychological Association.","author":[{"dropping-particle":"","family":"Hallett","given":"Darcy","non-dropping-particle":"","parse-names":false,"suffix":""},{"dropping-particle":"","family":"Nunes","given":"Terezinha","non-dropping-particle":"","parse-names":false,"suffix":""},{"dropping-particle":"","family":"Bryant","given":"Peter","non-dropping-particle":"","parse-names":false,"suffix":""}],"container-title":"Journal of Educational Psychology","id":"ITEM-1","issued":{"date-parts":[["2010"]]},"title":"Individual Differences in Conceptual and Procedural Knowledge When Learning Fractions","type":"article-journal"},"uris":["http://www.mendeley.com/documents/?uuid=9246ba36-4abb-4b95-ae3e-30869a8cc200"]}],"mendeley":{"formattedCitation":"(Hallett, Nunes, &amp; Bryant, 2010)","plainTextFormattedCitation":"(Hallett, Nunes, &amp; Bryant, 2010)","previouslyFormattedCitation":"(Hallett, Nunes, &amp; Bryant, 2010)"},"properties":{"noteIndex":0},"schema":"https://github.com/citation-style-language/schema/raw/master/csl-citation.json"}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(Hallett, Nunes, &amp; Bryant, 2010)</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Pada teori pendekatan instruksional konstruktivis lebih ditekankan pada pengetahuan</w:t>
      </w:r>
      <w:r w:rsidR="00DB3771">
        <w:rPr>
          <w:rFonts w:ascii="Times New Roman" w:hAnsi="Times New Roman" w:cs="Times New Roman"/>
          <w:sz w:val="24"/>
          <w:lang w:val="en-US"/>
        </w:rPr>
        <w:t xml:space="preserve"> konseptual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{"citationItems":[{"id":"ITEM-1","itemData":{"DOI":"10.1016/j.tate.2016.01.015","ISSN":"0742051X","abstract":"We studied relationships between mathematical knowledge, beliefs about teaching and learning, and instructional planning. We contrasted beliefs, mathematical knowledge, and skills of preservice teachers (n = 47) with those of inservice teachers (n = 31) at the primary school level. For both groups, participants were generally more constructivist than traditional in beliefs, and showed evidence of low conceptual knowledge in mathematics. Multiple regression analyses indicated different relationships between conceptual knowledge and constructivist beliefs for inservice versus preservice teachers. Conceptual knowledge played a strong role in instructional planning in mathematics. Implications for future research and teacher education are discussed based on these findings.","author":[{"dropping-particle":"","family":"Lui","given":"Angela M.","non-dropping-particle":"","parse-names":false,"suffix":""},{"dropping-particle":"","family":"Bonner","given":"Sarah M.","non-dropping-particle":"","parse-names":false,"suffix":""}],"container-title":"Teaching and Teacher Education","id":"ITEM-1","issued":{"date-parts":[["2016","5","1"]]},"page":"1-13","publisher":"Elsevier Ltd","title":"Preservice and inservice teachers' knowledge, beliefs, and instructional planning in primary school mathematics","type":"article-journal","volume":"56"},"uris":["http://www.mendeley.com/documents/?uuid=f6678bdd-1d16-31d9-8a4c-11972114c9f5"]}],"mendeley":{"formattedCitation":"(Lui &amp; Bonner, 2016)","plainTextFormattedCitation":"(Lui &amp; Bonner, 2016)","previouslyFormattedCitation":"(Lui &amp; Bonner, 2016)"},"properties":{"noteIndex":0},"schema":"https://github.com/citation-style-language/schema/raw/master/csl-citation.json"}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(Lui &amp; Bonner, 2016)</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Pengetahuan konseptual ini melibatkan kemampuan dalam memahami suatu konsep serta memahami hubungan antar konsep satu dengan konsep </w:t>
      </w:r>
      <w:r w:rsidR="00DB3771">
        <w:rPr>
          <w:rFonts w:ascii="Times New Roman" w:hAnsi="Times New Roman" w:cs="Times New Roman"/>
          <w:sz w:val="24"/>
          <w:lang w:val="en-US"/>
        </w:rPr>
        <w:t xml:space="preserve">lain dalam matematika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{"citationItems":[{"id":"ITEM-1","itemData":{"DOI":"10.4324/9780203856345","ISBN":"0203856341","abstract":"Studies of teachers in the U.S. often document insufficient subject matter knowledge in mathematics. Yet, these studies give few examples of the knowledge teachers need to support teaching, particularly the kind of teaching demanded by recent reforms in mathematics education. Knowing and Teaching Elementary Mathematics describes the nature and development of the knowledge that elementary teachers need to become accomplished mathematics teachers, and suggests why such knowledge seems more common in China than in the United States, despite the fact that Chinese teachers have less formal education than their U.S. counterparts. The anniversary edition of this bestselling volume includes the original studies that compare U.S and Chinese elementary school teachers' mathematical understanding and offers a powerful framework for grasping the mathematical content necessary to understand and develop the thinking of school children. Highlighting notable changes in the field and the author's work, this new edition includes an updated preface, introduction, and key journal articles that frame and contextualize this seminal work. © 2010 Taylor &amp; Francis. All rights reserved.","author":[{"dropping-particle":"","family":"Ma","given":"Liping","non-dropping-particle":"","parse-names":false,"suffix":""}],"container-title":"Knowing and Teaching Elementary Mathematics: Teachers' Understanding of Fundamental Mathematics in China and the United States: Second Edition","id":"ITEM-1","issued":{"date-parts":[["2010"]]},"title":"Knowing and teaching elementary mathematics: Teachers' understanding of fundamental mathematics in China and the United States: Second Edition","type":"book"},"uris":["http://www.mendeley.com/documents/?uuid=29b4bccc-4f70-42a1-b3bf-0a5a57a2ba4f"]}],"mendeley":{"formattedCitation":"(Ma, 2010)","plainTextFormattedCitation":"(Ma, 2010)","previouslyFormattedCitation":"(Ma, 2010)"},"properties":{"noteIndex":0},"schema":"https://github.com/citation-style-language/schema/raw/master/csl-citation.json"}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(Ma, 2010)</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Karena karakter matematika yang bersifat hirarkis yaitu adanya keterkaitan antar satu konsep dengan konsep lainnya, akan sangat fatal jika terjadi kegagalan dalam memahami suatu konsep. Kegagalan memahami suatu konsep inilah yang disebut miskonsepsi. </w:t>
      </w:r>
    </w:p>
    <w:p w14:paraId="65030D57" w14:textId="44B7AF78"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Miskonsepsi </w:t>
      </w:r>
      <w:r w:rsidRPr="003D1603">
        <w:rPr>
          <w:rFonts w:ascii="Times New Roman" w:hAnsi="Times New Roman" w:cs="Times New Roman"/>
          <w:sz w:val="24"/>
          <w:lang w:val="en-US"/>
        </w:rPr>
        <w:t>adalah kesalahpahaman yang disebabkan adanya pemikiran yang tidak didasarkan pada informasi yang tepat. Miskonsepsi dapat juga diartikan sebagai ketidaksesuaian pandangan se</w:t>
      </w:r>
      <w:r w:rsidR="00DB3771">
        <w:rPr>
          <w:rFonts w:ascii="Times New Roman" w:hAnsi="Times New Roman" w:cs="Times New Roman"/>
          <w:sz w:val="24"/>
          <w:lang w:val="en-US"/>
        </w:rPr>
        <w:t xml:space="preserve">seorang dengan padangan ilmiah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{"citationItems":[{"id":"ITEM-1","itemData":{"DOI":"10.1080/09500693.2012.680618","ISSN":"09500693","abstract":"This study describes the development and validation of a three-tier multiple-choice diagnostic test, the atmosphere-related environmental problems diagnostic test (AREPDiT), to reveal common misconceptions of global warming (GW), greenhouse effect (GE), ozone layer depletion (OLD), and acid rain (AR). The development of a two-tier diagnostic test procedure as described by Treagust constitutes the framework for this study. To differentiate a lack of knowledge from a misconception, a certainty response index is added as a third tier to each item. Based on propositional knowledge statements, related literature, and the identified misconceptions gathered initially from 157 pre-service teachers, the AREPDiT was constructed and administered to 256 pre-service teachers. The Cronbach alpha reliability coefficient of the pre-service teachers' scores was estimated to be 0.74. Content and face validations were established by senior experts. A moderate positive correlation between the participants' both-tiers scores and their certainty scores indicated evidence for construct validity. Therefore, the AREPDiT is a reliable and valid instrument not only to identify pre-service teachers' misconceptions about GW, GE, OLD, and AR but also to differentiate these misconceptions from lack of knowledge. The results also reveal that a majority of the respondents demonstrated limited understandings about atmosphere-related environmental problems and held six common misconceptions. Future studies could test the AREPDiT as a tool for assessing the misconceptions held by pre-service teachers from different programs as well as in-service teachers and high school students. © 2012 Copyright Taylor and Francis Group, LLC.","author":[{"dropping-particle":"","family":"Arslan","given":"Harika Ozge","non-dropping-particle":"","parse-names":false,"suffix":""},{"dropping-particle":"","family":"Cigdemoglu","given":"Ceyhan","non-dropping-particle":"","parse-names":false,"suffix":""},{"dropping-particle":"","family":"Moseley","given":"Christine","non-dropping-particle":"","parse-names":false,"suffix":""}],"container-title":"International Journal of Science Education","id":"ITEM-1","issued":{"date-parts":[["2012"]]},"title":"A Three-Tier Diagnostic Test to Assess Pre-Service Teachers' Misconceptions about Global Warming, Greenhouse Effect, Ozone Layer Depletion, and Acid Rain","type":"article-journal"},"uris":["http://www.mendeley.com/documents/?uuid=2de430ab-4bc8-4de4-a237-85d71c500119"]}],"mendeley":{"formattedCitation":"(Arslan, Cigdemoglu, &amp; Moseley, 2012)","plainTextFormattedCitation":"(Arslan, Cigdemoglu, &amp; Moseley, 2012)","previouslyFormattedCitation":"(Arslan, Cigdemoglu, &amp; Moseley, 2012)"},"properties":{"noteIndex":0},"schema":"https://github.com/citation-style-language/schema/raw/master/csl-citation.json"}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(Arslan, Cigdemoglu, &amp; Moseley, 2012)</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{"citationItems":[{"id":"ITEM-1","itemData":{"DOI":"10.1016/j.jmathb.2013.09.001","ISSN":"07323123","abstract":"Gaining an accurate understanding of variables is one challenge many students face when learning algebra. Prior research has shown that a significant number of students hold misconceptions about variables and that misconceptions impede learning. Yet, teachers do not have access to diagnostic tools that can help them determine the misconceptions about variables that their students harbor. Therefore, a formative assessment for variable misconceptions was created and administered to 437 middle- and high-school students. Analyses from the test scores were found to exhibit strong reliability, predictive validity, and construct validity in addition to important developmental trends. Both teachers and researchers can use the test to identify students who hold misconceptions about variables. © 2013 Elsevier Inc.","author":[{"dropping-particle":"","family":"Lucariello","given":"Joan","non-dropping-particle":"","parse-names":false,"suffix":""},{"dropping-particle":"","family":"Tine","given":"Michele T.","non-dropping-particle":"","parse-names":false,"suffix":""},{"dropping-particle":"","family":"Ganley","given":"Colleen M.","non-dropping-particle":"","parse-names":false,"suffix":""}],"container-title":"Journal of Mathematical Behavior","id":"ITEM-1","issue":"1","issued":{"date-parts":[["2014","3","1"]]},"page":"30-41","publisher":"Elsevier Inc.","title":"A formative assessment of students' algebraic variable misconceptions","type":"article-journal","volume":"33"},"uris":["http://www.mendeley.com/documents/?uuid=5b82c519-ec9c-30a3-a89b-8da15758c297"]}],"mendeley":{"formattedCitation":"(Lucariello, Tine, &amp; Ganley, 2014)","plainTextFormattedCitation":"(Lucariello, Tine, &amp; Ganley, 2014)","previouslyFormattedCitation":"(Lucariello, Tine, &amp; Ganley, 2014)"},"properties":{"noteIndex":0},"schema":"https://github.com/citation-style-language/schema/raw/master/csl-citation.json"}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(Lucariello, Tine, &amp; Ganley, 2014)</w:t>
      </w:r>
      <w:r w:rsidR="00DB3771">
        <w:rPr>
          <w:rFonts w:ascii="Times New Roman" w:hAnsi="Times New Roman" w:cs="Times New Roman"/>
          <w:sz w:val="24"/>
          <w:lang w:val="en-US"/>
        </w:rPr>
        <w:fldChar w:fldCharType="end"/>
      </w:r>
      <w:r w:rsidR="00DB3771">
        <w:rPr>
          <w:rFonts w:ascii="Times New Roman" w:hAnsi="Times New Roman" w:cs="Times New Roman"/>
          <w:sz w:val="24"/>
          <w:lang w:val="en-US"/>
        </w:rPr>
        <w:t xml:space="preserve">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{"citationItems":[{"id":"ITEM-1","itemData":{"abstract":"Misconceptions have been determined as one of the most important bariers on learning mathematics. In this study, it is aimed to investigate and review the articles about misconceptions in mathematics and for this reason conceptual review method was conducted. Within the scope of the study, 21 articles published between 2004 and 2015 were selected through predetermined criteria. Findings of the review revealed that the number of studies on mathematical misconceptions has increased in the last 5 years. In addition, most of the studies were conducted with primary, elementary and high school students. In these studies researchers generally used multiple choice or open-ended achievement tests. Moreover, most of the studies were conducted for the purpose of determining misconceptions, not eliminating misconceptions. Lastly, some recommendations are provided related to findings of the study.","author":[{"dropping-particle":"","family":"Ay","given":"Yasin","non-dropping-particle":"","parse-names":false,"suffix":""}],"container-title":"Education Research Highlights in Mathematics","id":"ITEM-1","issued":{"date-parts":[["2017"]]},"page":"21-31","title":"A Review of Research on the Misconceptions in Mathematics Education","type":"article-journal"},"uris":["http://www.mendeley.com/documents/?uuid=3f1bbf3e-cc62-37b2-b096-44db3228cba7"]}],"mendeley":{"formattedCitation":"(Ay, 2017)","plainTextFormattedCitation":"(Ay, 2017)","previouslyFormattedCitation":"(Ay, 2017)"},"properties":{"noteIndex":0},"schema":"https://github.com/citation-style-language/schema/raw/master/csl-citation.json"}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(Ay, 2017)</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menyatakan bahwa miskonsepsi merupakan hambatan dalam proses asimilasi konsep yang benar. Miskonsepsi atau kesalahpahaman ini bermula dari konsep yang dibentuk secara mandiri melalui proses penalaran, intuisi, dan budaya sekitar, </w:t>
      </w:r>
      <w:r w:rsidRPr="003D1603">
        <w:rPr>
          <w:rFonts w:ascii="Times New Roman" w:hAnsi="Times New Roman" w:cs="Times New Roman"/>
          <w:sz w:val="24"/>
          <w:lang w:val="en-US"/>
        </w:rPr>
        <w:lastRenderedPageBreak/>
        <w:t xml:space="preserve">tetapi konsep tersebut berbeda dengan konsep yang sebenarnya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{"citationItems":[{"id":"ITEM-1","itemData":{"DOI":"10.1088/1742-6596/947/1/012018","ISSN":"17426596","abstract":"This research aims to describe students' misconception of junior high school on the concept of the properties of rectangles and the alternative to overcome them. This research was qualitative descriptive research using test with the CRI (Certainty of Response Index) method and interview method. There were three students as subjects in this study who was identified to have the most misconceptions among students in the class . Based on the data analysis, the subjects showed similar misconceptions. One of student misconception was on the properties of rectangles. Student thought that rectangles were always regularly shaped, or in other word no rectangle was irregular shaped. Students' misconception caused by picture given to the problem. The misconceptions may due to the lack of understanding of rectangle properties. Alternatives can be done such as re-explain (remediation) or by using cognitive conflict strategies. In particular, our results indicated that 8th grade students had misconceptions in understanding the properties of rectangles. By knowing the misconceptions, students can possibly know how new knowledge is interpreted as well as having an impact on student's ability to learn correct information in the future.","author":[{"dropping-particle":"","family":"Ningrum","given":"R. W.","non-dropping-particle":"","parse-names":false,"suffix":""},{"dropping-particle":"","family":"Yulianti","given":"M.","non-dropping-particle":"","parse-names":false,"suffix":""},{"dropping-particle":"","family":"Helingo","given":"D. D.Z.","non-dropping-particle":"","parse-names":false,"suffix":""},{"dropping-particle":"","family":"Budiarto","given":"M. T.","non-dropping-particle":"","parse-names":false,"suffix":""}],"container-title":"Journal of Physics: Conference Series","id":"ITEM-1","issued":{"date-parts":[["2018"]]},"title":"Students' Misconceptions on Properties of Rectangles","type":"paper-conference"},"uris":["http://www.mendeley.com/documents/?uuid=318a9719-a997-4da7-9f33-06033a36a3c1"]}],"mendeley":{"formattedCitation":"(Ningrum, Yulianti, Helingo, &amp; Budiarto, 2018)","plainTextFormattedCitation":"(Ningrum, Yulianti, Helingo, &amp; Budiarto, 2018)","previouslyFormattedCitation":"(Ningrum, Yulianti, Helingo, &amp; Budiarto, 2018)"},"properties":{"noteIndex":0},"schema":"https://github.com/citation-style-language/schema/raw/master/csl-citation.json"}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(Ningrum, Yulianti, Helingo, &amp; Budiarto, 2018)</w:t>
      </w:r>
      <w:r w:rsidR="00DB3771">
        <w:rPr>
          <w:rFonts w:ascii="Times New Roman" w:hAnsi="Times New Roman" w:cs="Times New Roman"/>
          <w:sz w:val="24"/>
          <w:lang w:val="en-US"/>
        </w:rPr>
        <w:fldChar w:fldCharType="end"/>
      </w:r>
      <w:r w:rsidR="00DB3771">
        <w:rPr>
          <w:rFonts w:ascii="Times New Roman" w:hAnsi="Times New Roman" w:cs="Times New Roman"/>
          <w:sz w:val="24"/>
          <w:lang w:val="en-US"/>
        </w:rPr>
        <w:t xml:space="preserve">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{"citationItems":[{"id":"ITEM-1","itemData":{"ISSN":"2472-5986","abstract":"It is common knowledge that students of all grade levels have misconceptions regarding various concepts in mathematics. This article is focused on analyzing this issue due to its importance in the teaching and learning of mathematics. Misconceptions from two areas of mathematics are presented; these include operations with fractions (arithmetic) and addition of exponents (algebra). In each area, the explanation of the misconception, steps that teachers can take to address the problem, and highlights of previous research relating to the misconception are presented.","author":[{"dropping-particle":"","family":"Ojose","given":"Bobby","non-dropping-particle":"","parse-names":false,"suffix":""}],"id":"ITEM-1","issued":{"date-parts":[["2015"]]},"page":"30-34","title":"Students' Misconceptions in Mathematics: Analysis of Remedies and What Research Says","type":"article-journal","volume":"72"},"uris":["http://www.mendeley.com/documents/?uuid=b5e98935-86a8-41f4-b293-c62c607cef95"]}],"mendeley":{"formattedCitation":"(Ojose, 2015)","plainTextFormattedCitation":"(Ojose, 2015)","previouslyFormattedCitation":"(Ojose, 2015)"},"properties":{"noteIndex":0},"schema":"https://github.com/citation-style-language/schema/raw/master/csl-citation.json"}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(Ojose, 2015)</w:t>
      </w:r>
      <w:r w:rsidR="00DB3771">
        <w:rPr>
          <w:rFonts w:ascii="Times New Roman" w:hAnsi="Times New Roman" w:cs="Times New Roman"/>
          <w:sz w:val="24"/>
          <w:lang w:val="en-US"/>
        </w:rPr>
        <w:fldChar w:fldCharType="end"/>
      </w:r>
      <w:r w:rsidR="00DB3771">
        <w:rPr>
          <w:rFonts w:ascii="Times New Roman" w:hAnsi="Times New Roman" w:cs="Times New Roman"/>
          <w:sz w:val="24"/>
          <w:lang w:val="en-US"/>
        </w:rPr>
        <w:t xml:space="preserve">.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{"citationItems":[{"id":"ITEM-1","itemData":{"ISBN":"10720839","abstract":"Cetner reviews Common Misconceptions in Mathematics: Strategies to Correct Them by Bobby Ojose.","author":[{"dropping-particle":"","family":"Cetner","given":"Michelle","non-dropping-particle":"","parse-names":false,"suffix":""}],"container-title":"Mathematics Teaching in the Middle School","id":"ITEM-1","issued":{"date-parts":[["2016"]]},"title":"Common Misconceptions in Mathematics: Strategies to Correct Them","type":"book"},"uris":["http://www.mendeley.com/documents/?uuid=4026d49e-c3fd-4eb6-a313-a8f0db6e93b3"]}],"mendeley":{"formattedCitation":"(Cetner, 2016)","plainTextFormattedCitation":"(Cetner, 2016)","previouslyFormattedCitation":"(Cetner, 2016)"},"properties":{"noteIndex":0},"schema":"https://github.com/citation-style-language/schema/raw/master/csl-citation.json"}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(Cetner, 2016)</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menyatakan bahwa miskonsepsi disebabkan kebutuhan siswa yang berlebihan untuk memahami petunjuk yang mereka terima. Dalam beberapa kasus miskonsepsi dapat bertahan lama dalam pemikiran siswa dikarenakan siswa mengingat konsep yang salah dalam waktu yang lama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{"citationItems":[{"id":"ITEM-1","itemData":{"DOI":"10.1088/1742-6596/1320/1/012041","ISSN":"17426596","abstract":"Student's understanding of a material concept differs one to the others. This comprehension will be used to learn the next material. Thus, it is important to know whether or not the student understands a mathematical concept. The aim of the research is to identify students' misconceptions in mathematics and the possible causes of misconceptions. This qualitative case study approach used a multiple choices test given to 53 middle school mathematics students in grade 9 in Yogyakarta, Indonesia. The identification of students' misconceptions was based on the Certainty of Response Index (CRI) technique. The result showed that 20.9% of students had misconceptions in working mathematical problems. Meanwhile, the percentage of lucky guess, knowledge of correct concepts and lack of knowledge respectively is 18.8%, 32.7%, and 27.6%. The data indicated that students had misconception in classifying objects based on fulfilling requirements that form concepts, determining the right concepts to solve problems, distinguishing the necessary conditions and/or sufficient conditions for the concept of a circle. The result suggests that in the learning process students should be trained to understand the concept well, not only memorize the material. Furthermore, teachers and students should be given adequate interaction during the learning process.","author":[{"dropping-particle":"","family":"Hayati","given":"R.","non-dropping-particle":"","parse-names":false,"suffix":""},{"dropping-particle":"","family":"Setyaningrum","given":"W.","non-dropping-particle":"","parse-names":false,"suffix":""}],"container-title":"Journal of Physics: Conference Series","id":"ITEM-1","issue":"1","issued":{"date-parts":[["2019","11","29"]]},"publisher":"Institute of Physics Publishing","title":"Identification of Misconceptions in Middle School Mathematics Utilizing Certainty of Response Index","type":"paper-conference","volume":"1320"},"uris":["http://www.mendeley.com/documents/?uuid=d3ced2fb-0c9f-3adc-88c8-7fbee7804076"]}],"mendeley":{"formattedCitation":"(Hayati &amp; Setyaningrum, 2019)","plainTextFormattedCitation":"(Hayati &amp; Setyaningrum, 2019)","previouslyFormattedCitation":"(Hayati &amp; Setyaningrum, 2019)"},"properties":{"noteIndex":0},"schema":"https://github.com/citation-style-language/schema/raw/master/csl-citation.json"}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(Hayati &amp; Setyaningrum, 2019)</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w:t>
      </w:r>
    </w:p>
    <w:p w14:paraId="4123A5BC" w14:textId="5F538F62"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Kemampuan mengkonstruksi bukti merupakan salah satu kemampuan yang harus dikuasai dalam mempelajari matematika karena matematika berisi definisi, teorema, aksioma yang melibatkan proses pembuktian. Kemampuan mengkonstruksi bukti diperlukan agar mahasiswa terlatih dalam mengkomunikasikan ide-ide matematika secara logis sehingga menghasilkan pengetahuan matematika baru yang sistematis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{"citationItems":[{"id":"ITEM-1","itemData":{"DOI":"10.1007/s10857-012-9204-5","ISSN":"13864416","abstract":"Teachers of mathematics orchestrate opportunities for interactions between learners and subject matter. Therefore, mathematics teachers need rich, multidimensional content knowledge for teaching mathematics, which incorporates knowledge of the subject matter, students, and teaching. Studying this mathematical knowledge for teaching (MKT) necessitates more than a unidirectional assessment. In this study, the mathematical knowledge for teaching reasoning and proving of two secondary mathematics teachers was investigated through classroom observations and clinical assessments. Results indicate that using MKT as a frame for examining classroom practice, in addition to assessing the MKT a teacher possesses in a clinical setting, provides an in-depth and innovative method for investigating MKT. The comparison of the two cases also identifies student positioning as a key mediating factor between MKT and opportunities to learn. Implications for using MKT as a lens for examining practice in teacher education are discussed. © 2012 Springer Science+Business Media B.V.","author":[{"dropping-particle":"","family":"Steele","given":"Michael D.","non-dropping-particle":"","parse-names":false,"suffix":""},{"dropping-particle":"","family":"Rogers","given":"Kimberly Cervello","non-dropping-particle":"","parse-names":false,"suffix":""}],"container-title":"Journal of Mathematics Teacher Education","id":"ITEM-1","issued":{"date-parts":[["2012"]]},"title":"Relationships Between Mathematical Knowledge for Teaching and Teaching Practice: The Case of Proof","type":"article-journal"},"uris":["http://www.mendeley.com/documents/?uuid=6a93151b-1bd6-4331-b2a9-ac4095e6fb19"]}],"mendeley":{"formattedCitation":"(Steele &amp; Rogers, 2012)","plainTextFormattedCitation":"(Steele &amp; Rogers, 2012)","previouslyFormattedCitation":"(Steele &amp; Rogers, 2012)"},"properties":{"noteIndex":0},"schema":"https://github.com/citation-style-language/schema/raw/master/csl-citation.json"}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(Steele &amp; Rogers, 2012)</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Terdapat empat kategori model pengkonstruksian bukti matematis yaitu (1) general argument yang berarti mengkonstruksi bukti melalui pengurutan pernyataan yang mengacu pada semua kasus yang sebelumnya, (2) invalid general argument yaitu proses pembuktian masih lemah, (3) empirical argument yaitu proses pembuktian menggunakan beberapa kasus yang sesuai, dan (4) non genuine argument dengan hanya </w:t>
      </w:r>
      <w:r w:rsidR="00DB3771">
        <w:rPr>
          <w:rFonts w:ascii="Times New Roman" w:hAnsi="Times New Roman" w:cs="Times New Roman"/>
          <w:sz w:val="24"/>
          <w:lang w:val="en-US"/>
        </w:rPr>
        <w:t xml:space="preserve">sebatas mempercayai pernyataan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{"citationItems":[{"id":"ITEM-1","itemData":{"DOI":"10.1007/s10649-009-9191-3","author":[{"dropping-particle":"","family":"Stylianides","given":"Andreas J","non-dropping-particle":"","parse-names":false,"suffix":""},{"dropping-particle":"","family":"Stylianides","given":"Gabriel J","non-dropping-particle":"","parse-names":false,"suffix":""}],"id":"ITEM-1","issue":"March","issued":{"date-parts":[["2009"]]},"page":"237-253","title":"Proof constructions and evaluations","type":"article-journal"},"uris":["http://www.mendeley.com/documents/?uuid=a6f5c409-5b4f-489c-9aaf-c91661f8a8f2"]}],"mendeley":{"formattedCitation":"(Stylianides &amp; Stylianides, 2009)","plainTextFormattedCitation":"(Stylianides &amp; Stylianides, 2009)","previouslyFormattedCitation":"(Stylianides &amp; Stylianides, 2009)"},"properties":{"noteIndex":0},"schema":"https://github.com/citation-style-language/schema/raw/master/csl-citation.json"}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(Stylianides &amp; Stylianides, 2009)</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Meskipun kemampuan mengkonstruksi bukti ini penting, hasil penelitian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{"citationItems":[{"id":"ITEM-1","itemData":{"DOI":"10.5951/jresematheduc.43.4.0358","ISSN":"00218251","abstract":"This article presents a comparison of the proof validation behavior of beginning undergraduate students and research-active mathematicians. Participants' eye movements were recorded as they validated purported proofs. The main findings are that (a) contrary to previous suggestions, mathematicians sometimes appear to disagree about the validity of even short purported proofs; (b) compared with mathematicians, undergraduate students spend proportionately more time focusing on \"surface features\" of arguments, suggesting that they attend less to logical structure; and (c) compared with undergraduates, mathematicians are more inclined to shift their attention back and forth between consecutive lines of purported proofs, suggesting that they devote more effort to inferring implicit warrants. Pedagogical implications of these results are discussed, taking into account students' apparent difficulties with proof validation and the importance of this activity in both schooland university-level mathematics education.","author":[{"dropping-particle":"","family":"Inglis","given":"Matthew","non-dropping-particle":"","parse-names":false,"suffix":""},{"dropping-particle":"","family":"Alcock","given":"Lara","non-dropping-particle":"","parse-names":false,"suffix":""}],"container-title":"Journal for Research in Mathematics Education","id":"ITEM-1","issue":"4","issued":{"date-parts":[["2012"]]},"title":"Expert and novice approaches to reading mathematical proofs","type":"article-journal","volume":"43"},"uris":["http://www.mendeley.com/documents/?uuid=b9eaf7e2-5a17-3487-a399-8234a5d95463"]}],"mendeley":{"formattedCitation":"(Inglis &amp; Alcock, 2012)","plainTextFormattedCitation":"(Inglis &amp; Alcock, 2012)","previouslyFormattedCitation":"(Inglis &amp; Alcock, 2012)"},"properties":{"noteIndex":0},"schema":"https://github.com/citation-style-language/schema/raw/master/csl-citation.json"}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(Inglis &amp; Alcock, 2012)</w:t>
      </w:r>
      <w:r w:rsidR="00DB3771">
        <w:rPr>
          <w:rFonts w:ascii="Times New Roman" w:hAnsi="Times New Roman" w:cs="Times New Roman"/>
          <w:sz w:val="24"/>
          <w:lang w:val="en-US"/>
        </w:rPr>
        <w:fldChar w:fldCharType="end"/>
      </w:r>
      <w:r w:rsidR="00DB3771">
        <w:rPr>
          <w:rFonts w:ascii="Times New Roman" w:hAnsi="Times New Roman" w:cs="Times New Roman"/>
          <w:sz w:val="24"/>
          <w:lang w:val="en-US"/>
        </w:rPr>
        <w:t xml:space="preserve">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{"citationItems":[{"id":"ITEM-1","itemData":{"DOI":"10.1007/s10649-013-9514-2","ISSN":"15730816","abstract":"In a recent paper (Weber &amp; Mejia-Ramos, Educational Studies in Mathematics, 76, 329-344, 2011), we reported findings from two small-scale interview studies on the reasons why and the ways in which mathematicians read proofs. Based on these findings, we designed an Internet-based survey that we distributed to practicing mathematicians working in top mathematics departments in the USA. Surveyed mathematicians (N = 118) agreed to a great extent with the interviewed mathematicians in the exploratory studies. First, the mathematicians reported that they commonly read published proofs to gain different types of insight, not to check the correctness of the proofs. Second, they stated that when reading these proofs, they commonly: (a) appeal to the reputation of the author and the journal, (b) study how certain steps in the proof apply to specific examples, and (c) focus on the overarching ideas and methods in the proofs. In this paper, we also report findings from another section of the survey that focused on how participants reviewed proofs submitted for publication. The comparison of participant responses to questions in these two sections of the survey suggests that reading a published proof of a colleague and refereeing a proof for publication are substantially different activities for mathematicians. © 2013 Springer Science+Business Media Dordrecht.","author":[{"dropping-particle":"","family":"Mejia-Ramos","given":"Juan Pablo","non-dropping-particle":"","parse-names":false,"suffix":""},{"dropping-particle":"","family":"Weber","given":"Keith","non-dropping-particle":"","parse-names":false,"suffix":""}],"container-title":"Educational Studies in Mathematics","id":"ITEM-1","issue":"2","issued":{"date-parts":[["2014"]]},"title":"Why and how mathematicians read proofs: Further evidence from a survey study","type":"article-journal","volume":"85"},"uris":["http://www.mendeley.com/documents/?uuid=4f650cb7-ba93-3b6a-a601-68421220a13f"]}],"mendeley":{"formattedCitation":"(Mejia-Ramos &amp; Weber, 2014)","plainTextFormattedCitation":"(Mejia-Ramos &amp; Weber, 2014)","previouslyFormattedCitation":"(Mejia-Ramos &amp; Weber, 2014)"},"properties":{"noteIndex":0},"schema":"https://github.com/citation-style-language/schema/raw/master/csl-citation.json"}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(Mejia-Ramos &amp; Weber, 2014)</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menunjukkan bahwa sebagian besar mahasiswa tidak dapat membedakan proses pembuktian yang valid dan tidak valid. </w:t>
      </w:r>
    </w:p>
    <w:p w14:paraId="0F9A030E" w14:textId="2A5B2254"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lastRenderedPageBreak/>
        <w:t xml:space="preserve">Himpunan merupakan konsep dasar yang harus dipahami sebelum mempelajari lebih lanjut konsep-konsep lain yang ada dimatematika. Beberapa penelitian telah dilakukan terkait miskonsepsi yang terjadi pada konsep himpunan. Hasil penelitian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{"citationItems":[{"id":"ITEM-1","itemData":{"DOI":"10.1080/10288457.2013.848534","ISSN":"18117295","abstract":"The study investigated teachers’ pedagogical content knowledge of common students’ errors and misconceptions in sets. Five mathematics teachers from one Lesotho secondary school were the sample of the study. Questionnaires and interviews were used for data collection. The results show that teachers were able to identify the following students’ errors: (i) writing an empty set as (0) instead of; (ii) treating the repeating elements of the union of two sets as distinct and (iii) treating an infinite set as a finite set. Teachers were not able to identify the errors where students (i) treated infinity as a number; (ii) said that the members of countable infinite sets cannot be compared and (iii) that curly brackets are used only when listing the members of a set. The identified errors were associated with some misconceptions. Depending on the nature of the students’ tasks teachers’ strategies and explanations of dealing with the errors and misconceptions were inclined towards calling on procedural knowledge. Only a few cases of conceptual knowledge were noted. Implications for teaching are proposed. © 2013 Southern African Association for Research in Mathematics, Science and Technology Education (SAARMSTE).","author":[{"dropping-particle":"","family":"Kolitsoe Moru","given":"Eunice","non-dropping-particle":"","parse-names":false,"suffix":""},{"dropping-particle":"","family":"Qhobela","given":"Makomosela","non-dropping-particle":"","parse-names":false,"suffix":""}],"container-title":"African Journal of Research in Mathematics, Science and Technology Education","id":"ITEM-1","issued":{"date-parts":[["2013"]]},"title":"Secondary school teachers’ Pedagogical content knowledge of some common student errors and misconceptions in sets","type":"article-journal"},"uris":["http://www.mendeley.com/documents/?uuid=08b58df8-ea29-4acb-8022-7f9fac0324fc"]}],"mendeley":{"formattedCitation":"(Kolitsoe Moru &amp; Qhobela, 2013)","plainTextFormattedCitation":"(Kolitsoe Moru &amp; Qhobela, 2013)","previouslyFormattedCitation":"(Kolitsoe Moru &amp; Qhobela, 2013)"},"properties":{"noteIndex":0},"schema":"https://github.com/citation-style-language/schema/raw/master/csl-citation.json"}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(Kolitsoe Moru &amp; Qhobela, 2013)</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menunjukkan mahasiswa mengalami miskonsepsi pada konsep himpunan kosong, operasi gabungan, dan himpunan berhingga. Selain itu hasil penelitian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{"citationItems":[{"id":"ITEM-1","itemData":{"author":[{"dropping-particle":"","family":"Lestyanto","given":"Latifah Mustofa","non-dropping-particle":"","parse-names":false,"suffix":""},{"dropping-particle":"","family":"Nasution","given":"Syaiful Hamzah","non-dropping-particle":"","parse-names":false,"suffix":""},{"dropping-particle":"","family":"Tejo","given":"Ety","non-dropping-particle":"","parse-names":false,"suffix":""},{"dropping-particle":"","family":"Cahyowati","given":"Dwi","non-dropping-particle":"","parse-names":false,"suffix":""},{"dropping-particle":"","family":"Kahfi","given":"M Shohibul","non-dropping-particle":"","parse-names":false,"suffix":""},{"dropping-particle":"","family":"Malang","given":"Universitas Negeri","non-dropping-particle":"","parse-names":false,"suffix":""}],"container-title":"Jurnal Review Pembelajaran Matematika (Jrpm)","id":"ITEM-1","issue":"2","issued":{"date-parts":[["2019"]]},"page":"128-142","title":"Kesalahan konstruksi konsep mahasiswa pada materi himpunan dan defragmentasi struktur berpikirnya","type":"article-journal","volume":"4"},"uris":["http://www.mendeley.com/documents/?uuid=43be4399-b379-465a-9b0e-1e4b3af166b7"]}],"mendeley":{"formattedCitation":"(Lestyanto et al., 2019)","plainTextFormattedCitation":"(Lestyanto et al., 2019)","previouslyFormattedCitation":"(Lestyanto et al., 2019)"},"properties":{"noteIndex":0},"schema":"https://github.com/citation-style-language/schema/raw/master/csl-citation.json"}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(Lestyanto et al., 2019)</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mahasiswa juga mengalami miskonsepsi pada konsep subset, power set dan makna beberapa simbol yang berkaitan dengan himpunan.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{"citationItems":[{"id":"ITEM-1","itemData":{"DOI":"10.31004/cendekia.v3i2.146","ISSN":"2614-3038","abstract":"Penelitian ini merupakan penelitan deskriptif kualitatif. Tujuan penelitian ini yaitu untuk mengetahui jenis-jenis kesalahan yang dilakukan mahasiswa Program Studi Pendidikan Matemaika dalam menyelesaikan soal-soal materi  himpunan dan untuk mengetahui faktor apa saja yang menjadi penyebab mahasiswa Program Studi Pendidikan Matematika melakukan kesalahan dalam menyelesaikan soal-soal materi  himpunan. Penentuan subjek menggunakan teknik  purposive sampling. Subjek pada penelitian ini berjumlah tiga puluh satu orang yang diambil dari mahasiswa Program Studi Pendidikan Matematika Semester satu TA. 2018/2019. Teknik pengumpulan data dalam penelitian ini adalah tes dan wawancara. Tes yang digunakan berbentuk tes uraian sebanyak lima butir soal. Berdasarkan hasil penelitian jenis kesalahan yang dilakukan siswa dalam menyelesaikan soal pada materi himpunan adalah data tidak tepat, prosedur tidak tepat, data hilang, konflik level respon, manipulasi tidak langsung, masalah hirarki keterampilan, selain dari 7 kategori yaitu mahasiswa tidak menjawab soal.  Dari hasil penelitian diperoleh bahwa kesalahan yang sering dilakukan mahasiswa adalah kesimpulan hilang sebesar 29,03%, data hilang sebesar 20,97% dan konflik level respon sebesar 17,74%. Faktor-faktor yang mempengaruhi mahasiswa melakukan kesalahan dalam menyelesaikan soal materi himpunan adalah mahasiswa belum paham dengan beberapa konsep bilangan, belum memahami operasi himpunan beserta simbolnya, dan belum mahirnya dalam membuktikan suatu pernyataan. Hal ini juga disebabkan mahasiswa malu bertanya di dalam kelas mengenai materi yang sebenarnya mereka telah pelajari sehingga mengakibatkan mahasiswa menjawab berdasarkan pengetahuan yang telah dimiliki sebelumnya.\r Kata kunci: Analisis, Kesalahan mahasiswa, Himpunan.","author":[{"dropping-particle":"","family":"Andriani","given":"Lies","non-dropping-particle":"","parse-names":false,"suffix":""}],"container-title":"Jurnal Cendekia : Jurnal Pendidikan Matematika","id":"ITEM-1","issue":"2","issued":{"date-parts":[["2019","12","11"]]},"page":"550-562","publisher":"Universitas Pahlawan Tuanku Tambusai","title":"Analisis Kesalahan Mahasiswa Dalam Meyelesaikan Soal Himpunan di Program Studi Pendidikan Matematika UIN SUSKA RIAU","type":"article-journal","volume":"3"},"uris":["http://www.mendeley.com/documents/?uuid=392077b4-7ffc-3642-abf1-fc52f161566b"]}],"mendeley":{"formattedCitation":"(Andriani, 2019)","plainTextFormattedCitation":"(Andriani, 2019)","previouslyFormattedCitation":"(Andriani, 2019)"},"properties":{"noteIndex":0},"schema":"https://github.com/citation-style-language/schema/raw/master/csl-citation.json"}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(Andriani, 2019)</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menyatakan bahwa salah satu hal yang mempengaruhi mahasiswa melakukan kesalahan pada materi himpunan adalah belum mahirnya kemampuan dalam membuktikan.  Sehingga penelitian ini berfokus pada miskonsepsi yang terjadi pada mahasiswa dilihat dari proses mengkonstruksi bukti.</w:t>
      </w:r>
    </w:p>
    <w:p w14:paraId="2273D6D3" w14:textId="77777777"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Berdasarkan beberapa paparan di atas rumusan masalah dalam penelitian ini adalah bagaimana miskonsepsi mahasiswa pada konsep himpunan ditinjau dari kemampuannya dalam mengkonstruksi bukti. Tujuan dari penelitian ini adalah untuk mendiskripsikan </w:t>
      </w:r>
      <w:proofErr w:type="gramStart"/>
      <w:r w:rsidRPr="003D1603">
        <w:rPr>
          <w:rFonts w:ascii="Times New Roman" w:hAnsi="Times New Roman" w:cs="Times New Roman"/>
          <w:sz w:val="24"/>
          <w:lang w:val="en-US"/>
        </w:rPr>
        <w:t>miskonsepsi  mahasiswa</w:t>
      </w:r>
      <w:proofErr w:type="gramEnd"/>
      <w:r w:rsidRPr="003D1603">
        <w:rPr>
          <w:rFonts w:ascii="Times New Roman" w:hAnsi="Times New Roman" w:cs="Times New Roman"/>
          <w:sz w:val="24"/>
          <w:lang w:val="en-US"/>
        </w:rPr>
        <w:t xml:space="preserve"> pada konsep himpunan ditinjau dari kemampuannya dalam mengkonstruksi bukti. </w:t>
      </w:r>
    </w:p>
    <w:p w14:paraId="510532F8" w14:textId="77777777"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4F813786" w14:textId="48C53DAA" w:rsidR="003D1603" w:rsidRPr="003D1603" w:rsidRDefault="003D1603" w:rsidP="003D1603">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p>
    <w:p w14:paraId="16EFBCCE" w14:textId="77777777" w:rsidR="004C7C87" w:rsidRDefault="003D1603" w:rsidP="004C7C87">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ab/>
        <w:t xml:space="preserve">Untuk menjawab rumusan serta tujuan penelitian yaitu mendiskripsikan </w:t>
      </w:r>
      <w:proofErr w:type="gramStart"/>
      <w:r w:rsidRPr="003D1603">
        <w:rPr>
          <w:rFonts w:ascii="Times New Roman" w:hAnsi="Times New Roman" w:cs="Times New Roman"/>
          <w:sz w:val="24"/>
          <w:lang w:val="en-US"/>
        </w:rPr>
        <w:t>miskonsepsi  mahasiswa</w:t>
      </w:r>
      <w:proofErr w:type="gramEnd"/>
      <w:r w:rsidRPr="003D1603">
        <w:rPr>
          <w:rFonts w:ascii="Times New Roman" w:hAnsi="Times New Roman" w:cs="Times New Roman"/>
          <w:sz w:val="24"/>
          <w:lang w:val="en-US"/>
        </w:rPr>
        <w:t xml:space="preserve"> pada konsep himpunan ditinjau dari kemampuannya dalam mengkonstruksi bukti, penelitian ini didesain menggunakan penelitian deskriptif dengan pendekatan kualitatif. Subjek dalam penelitian ini adalah empat mahasiswa yang dipilih </w:t>
      </w:r>
      <w:r w:rsidRPr="003D1603">
        <w:rPr>
          <w:rFonts w:ascii="Times New Roman" w:hAnsi="Times New Roman" w:cs="Times New Roman"/>
          <w:sz w:val="24"/>
          <w:lang w:val="en-US"/>
        </w:rPr>
        <w:lastRenderedPageBreak/>
        <w:t xml:space="preserve">berdasarkan kategori kemampuannya dalam mengkonstruksi suatu bukti pada teorema yang ada pada materi himpunan. Kategori yang dimaksud adalah (1) general argument yang berarti mengkonstruksi bukti melalui pengurutan pernyataan yang mengacu pada semua kasus yang sebelumnya, (2) invalid general argument yaitu proses pembuktian masih lemah, (3) empirical argument yaitu proses pembuktian menggunakan beberapa kasus yang sesuai, dan (4) non genuine argument dengan hanya sebatas mempercayai pernyataan. Masing-masing subjek mewakili satu kategori kemampuan mengkonstruksi bukti. </w:t>
      </w:r>
    </w:p>
    <w:p w14:paraId="34B10288" w14:textId="78EC290C" w:rsidR="003D1603" w:rsidRDefault="003D1603" w:rsidP="004C7C87">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Teknik pengumpulan data adalah dengan pemberian tes dan wawancara. Tujuan dari tes dan wawancara ini adalah untuk mendapatkan data terkait miskonsepsi yang siswa alami. Berdasarkan hal tersebut instrument yang digunakan dalam penelitian ini adalah lembar tes dan pedoman wawancara. Tes berisi soal yang berkaitan dengan konsep dasar himpunan yang berhubungan dengan teorema yang dibuktikan mahasiswa pada tes awal (penentuan subjek) agar lebih terlihat miskonsepsi yang terjadi pada mahasiswa. Teknik analisis data terdiri dari tiga tahapan yaitu (1) reduksi data, (2) penyajian data, dan (3) penarikan kesimpulan. Reduksi data adalah memilih data primer yaitu data yang dapat memaparkan dengan jelas miskonsepsi yang siswa alami, untuk selanjutnya disajikan dalam bentuk deskripsi. Penarikan kesimpulan didasarkan pada hasil dari data yang telah disajikan. </w:t>
      </w:r>
    </w:p>
    <w:p w14:paraId="53E08F98" w14:textId="77777777"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4C254B20" w14:textId="64321513" w:rsidR="003D1603" w:rsidRPr="0037426C" w:rsidRDefault="003D1603" w:rsidP="003D1603">
      <w:pPr>
        <w:spacing w:after="0" w:line="288" w:lineRule="auto"/>
        <w:contextualSpacing/>
        <w:rPr>
          <w:rFonts w:ascii="Times New Roman" w:hAnsi="Times New Roman"/>
          <w:b/>
          <w:sz w:val="24"/>
          <w:lang w:val="en-US"/>
        </w:rPr>
      </w:pPr>
      <w:r w:rsidRPr="00340E1B">
        <w:rPr>
          <w:rFonts w:ascii="Times New Roman" w:hAnsi="Times New Roman"/>
          <w:b/>
          <w:sz w:val="24"/>
        </w:rPr>
        <w:t>HASIL DAN PEMBAHASAN</w:t>
      </w:r>
    </w:p>
    <w:p w14:paraId="08C4E6FE" w14:textId="620F6C1B"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Berikut disajikan hasil pengerjaan tes masing-masing subjek ditinjau dari kriteria dalam mengkonstruksi bukti. </w:t>
      </w:r>
    </w:p>
    <w:p w14:paraId="7042734A" w14:textId="6D9E4FA9" w:rsidR="003D1603" w:rsidRPr="003D1603" w:rsidRDefault="003D1603" w:rsidP="003D1603">
      <w:pPr>
        <w:pStyle w:val="ListParagraph"/>
        <w:numPr>
          <w:ilvl w:val="0"/>
          <w:numId w:val="1"/>
        </w:numPr>
        <w:autoSpaceDE w:val="0"/>
        <w:autoSpaceDN w:val="0"/>
        <w:adjustRightInd w:val="0"/>
        <w:spacing w:after="0" w:line="240" w:lineRule="auto"/>
        <w:ind w:left="426" w:hanging="426"/>
        <w:jc w:val="both"/>
        <w:rPr>
          <w:rFonts w:ascii="Times New Roman" w:hAnsi="Times New Roman" w:cs="Times New Roman"/>
          <w:b/>
          <w:sz w:val="24"/>
          <w:lang w:val="en-US"/>
        </w:rPr>
      </w:pPr>
      <w:r w:rsidRPr="003D1603">
        <w:rPr>
          <w:rFonts w:ascii="Times New Roman" w:hAnsi="Times New Roman" w:cs="Times New Roman"/>
          <w:b/>
          <w:sz w:val="24"/>
          <w:lang w:val="en-US"/>
        </w:rPr>
        <w:lastRenderedPageBreak/>
        <w:t xml:space="preserve">Subjek </w:t>
      </w:r>
      <w:r>
        <w:rPr>
          <w:rFonts w:ascii="Times New Roman" w:hAnsi="Times New Roman" w:cs="Times New Roman"/>
          <w:b/>
          <w:i/>
          <w:sz w:val="24"/>
          <w:lang w:val="en-US"/>
        </w:rPr>
        <w:t>General A</w:t>
      </w:r>
      <w:r w:rsidRPr="003D1603">
        <w:rPr>
          <w:rFonts w:ascii="Times New Roman" w:hAnsi="Times New Roman" w:cs="Times New Roman"/>
          <w:b/>
          <w:i/>
          <w:sz w:val="24"/>
          <w:lang w:val="en-US"/>
        </w:rPr>
        <w:t>rgument</w:t>
      </w:r>
    </w:p>
    <w:p w14:paraId="404DC882" w14:textId="2367B98E"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Miskonsepsi yang terjadi pada subjek dengan kriteria pembuktian </w:t>
      </w:r>
      <w:r w:rsidRPr="002B76A4">
        <w:rPr>
          <w:rFonts w:ascii="Times New Roman" w:hAnsi="Times New Roman" w:cs="Times New Roman"/>
          <w:i/>
          <w:sz w:val="24"/>
          <w:lang w:val="en-US"/>
        </w:rPr>
        <w:lastRenderedPageBreak/>
        <w:t>general argument</w:t>
      </w:r>
      <w:r w:rsidRPr="003D1603">
        <w:rPr>
          <w:rFonts w:ascii="Times New Roman" w:hAnsi="Times New Roman" w:cs="Times New Roman"/>
          <w:sz w:val="24"/>
          <w:lang w:val="en-US"/>
        </w:rPr>
        <w:t xml:space="preserve"> terlihat pada Gambar 1 di bawah ini.</w:t>
      </w:r>
    </w:p>
    <w:p w14:paraId="3AB2167D" w14:textId="77777777"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sectPr w:rsidR="003D1603" w:rsidSect="004F616E">
          <w:type w:val="continuous"/>
          <w:pgSz w:w="11907" w:h="16839" w:code="9"/>
          <w:pgMar w:top="1701" w:right="1701" w:bottom="1701" w:left="1701" w:header="708" w:footer="708" w:gutter="0"/>
          <w:cols w:num="2" w:space="708"/>
          <w:docGrid w:linePitch="360"/>
        </w:sectPr>
      </w:pPr>
    </w:p>
    <w:p w14:paraId="6BADBA78" w14:textId="2D63C138" w:rsidR="003D1603" w:rsidRDefault="0050781C" w:rsidP="003D1603">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noProof/>
          <w:sz w:val="24"/>
          <w:szCs w:val="24"/>
          <w:lang w:val="en-US"/>
        </w:rPr>
        <w:lastRenderedPageBreak/>
        <w:drawing>
          <wp:anchor distT="0" distB="0" distL="114300" distR="114300" simplePos="0" relativeHeight="251667968" behindDoc="0" locked="0" layoutInCell="1" allowOverlap="1" wp14:anchorId="4EC10E8D" wp14:editId="031F3F32">
            <wp:simplePos x="0" y="0"/>
            <wp:positionH relativeFrom="column">
              <wp:posOffset>358140</wp:posOffset>
            </wp:positionH>
            <wp:positionV relativeFrom="paragraph">
              <wp:posOffset>106680</wp:posOffset>
            </wp:positionV>
            <wp:extent cx="4638675" cy="841375"/>
            <wp:effectExtent l="0" t="0" r="9525" b="0"/>
            <wp:wrapThrough wrapText="bothSides">
              <wp:wrapPolygon edited="0">
                <wp:start x="0" y="0"/>
                <wp:lineTo x="0" y="21029"/>
                <wp:lineTo x="21556" y="21029"/>
                <wp:lineTo x="2155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ya.jpg"/>
                    <pic:cNvPicPr/>
                  </pic:nvPicPr>
                  <pic:blipFill rotWithShape="1">
                    <a:blip r:embed="rId14" cstate="print">
                      <a:extLst>
                        <a:ext uri="{28A0092B-C50C-407E-A947-70E740481C1C}">
                          <a14:useLocalDpi xmlns:a14="http://schemas.microsoft.com/office/drawing/2010/main" val="0"/>
                        </a:ext>
                      </a:extLst>
                    </a:blip>
                    <a:srcRect l="7853" t="10457" r="10096" b="78365"/>
                    <a:stretch/>
                  </pic:blipFill>
                  <pic:spPr bwMode="auto">
                    <a:xfrm>
                      <a:off x="0" y="0"/>
                      <a:ext cx="4638675" cy="841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0E09F8" w14:textId="54550632" w:rsidR="003D1603" w:rsidRDefault="003D1603" w:rsidP="003D1603">
      <w:pPr>
        <w:autoSpaceDE w:val="0"/>
        <w:autoSpaceDN w:val="0"/>
        <w:adjustRightInd w:val="0"/>
        <w:spacing w:after="0" w:line="240" w:lineRule="auto"/>
        <w:jc w:val="both"/>
        <w:rPr>
          <w:rFonts w:ascii="Times New Roman" w:hAnsi="Times New Roman" w:cs="Times New Roman"/>
          <w:sz w:val="24"/>
          <w:lang w:val="en-US"/>
        </w:rPr>
      </w:pPr>
    </w:p>
    <w:p w14:paraId="25B9BC03" w14:textId="70740153"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0311E8FD" w14:textId="254D6921"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 </w:t>
      </w:r>
    </w:p>
    <w:p w14:paraId="25C6D75B" w14:textId="584072A8"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3B7B8481" w14:textId="77777777"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6123E981" w14:textId="77777777" w:rsidR="003D1603" w:rsidRPr="004D0001" w:rsidRDefault="003D1603" w:rsidP="003D1603">
      <w:pPr>
        <w:autoSpaceDE w:val="0"/>
        <w:autoSpaceDN w:val="0"/>
        <w:adjustRightInd w:val="0"/>
        <w:spacing w:after="0" w:line="240" w:lineRule="auto"/>
        <w:jc w:val="center"/>
        <w:rPr>
          <w:rFonts w:ascii="Times New Roman" w:hAnsi="Times New Roman" w:cs="Times New Roman"/>
          <w:b/>
          <w:i/>
          <w:sz w:val="24"/>
          <w:lang w:val="en-US"/>
        </w:rPr>
      </w:pPr>
      <w:r w:rsidRPr="003D1603">
        <w:rPr>
          <w:rFonts w:ascii="Times New Roman" w:hAnsi="Times New Roman" w:cs="Times New Roman"/>
          <w:b/>
          <w:sz w:val="24"/>
          <w:lang w:val="en-US"/>
        </w:rPr>
        <w:t xml:space="preserve">Gambar 1. Hasil pekerjaan subjek </w:t>
      </w:r>
      <w:r w:rsidRPr="004D0001">
        <w:rPr>
          <w:rFonts w:ascii="Times New Roman" w:hAnsi="Times New Roman" w:cs="Times New Roman"/>
          <w:b/>
          <w:i/>
          <w:sz w:val="24"/>
          <w:lang w:val="en-US"/>
        </w:rPr>
        <w:t>general argument</w:t>
      </w:r>
    </w:p>
    <w:p w14:paraId="1CFBAFBD" w14:textId="77777777"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sectPr w:rsidR="003D1603" w:rsidSect="003D1603">
          <w:type w:val="continuous"/>
          <w:pgSz w:w="11907" w:h="16839" w:code="9"/>
          <w:pgMar w:top="1701" w:right="1701" w:bottom="1701" w:left="1701" w:header="708" w:footer="708" w:gutter="0"/>
          <w:cols w:space="708"/>
          <w:docGrid w:linePitch="360"/>
        </w:sectPr>
      </w:pPr>
    </w:p>
    <w:p w14:paraId="39C1F187" w14:textId="5D1580D1"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124A90AA" w14:textId="77777777" w:rsidR="0050781C" w:rsidRDefault="0050781C" w:rsidP="0050781C">
      <w:pPr>
        <w:autoSpaceDE w:val="0"/>
        <w:autoSpaceDN w:val="0"/>
        <w:adjustRightInd w:val="0"/>
        <w:spacing w:after="0" w:line="240" w:lineRule="auto"/>
        <w:ind w:firstLine="567"/>
        <w:jc w:val="both"/>
        <w:rPr>
          <w:rFonts w:ascii="Times New Roman" w:hAnsi="Times New Roman" w:cs="Times New Roman"/>
          <w:sz w:val="24"/>
          <w:lang w:val="en-US"/>
        </w:rPr>
        <w:sectPr w:rsidR="0050781C" w:rsidSect="0050781C">
          <w:type w:val="continuous"/>
          <w:pgSz w:w="11907" w:h="16839" w:code="9"/>
          <w:pgMar w:top="1701" w:right="1701" w:bottom="1701" w:left="1701" w:header="708" w:footer="708" w:gutter="0"/>
          <w:cols w:space="708"/>
          <w:docGrid w:linePitch="360"/>
        </w:sectPr>
      </w:pPr>
    </w:p>
    <w:p w14:paraId="605B9598" w14:textId="0FBE5820" w:rsidR="003D1603" w:rsidRDefault="003D1603" w:rsidP="0050781C">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lastRenderedPageBreak/>
        <w:t>Berdasarkan Gambar 1 di atas mahasiswa mengalami miskonsepsi ditunjukkan dengan adanya pengertian yang tidak akurat terkait konsep subset Mahasiswa memberikan alasan yang sama untuk menentukan nilai kebenaran dari dua pernyataan yang berbeda yaitu {</w:t>
      </w:r>
      <w:proofErr w:type="gramStart"/>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proofErr w:type="gramEnd"/>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  dan {</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 xml:space="preserve">}}. Konsep subset dan anggota himpunan jelas berbeda acuannya. Hal inilah yang menyebabkan mahasiswa ini terindikasi mengalami miskonsepsi pada konsep subset. Padahal dalam proses mengkonstuksi bukti yang berhubungan dengan konsep subset, mahasiswa ini tergolong kategori general argument yaitu membuktikan dengan tepat, kuat dan logis. Berikut petikan wawancara terhadap subjek. </w:t>
      </w:r>
    </w:p>
    <w:p w14:paraId="038A7020" w14:textId="77777777" w:rsidR="00306990" w:rsidRDefault="00306990" w:rsidP="00306990">
      <w:pPr>
        <w:autoSpaceDE w:val="0"/>
        <w:autoSpaceDN w:val="0"/>
        <w:adjustRightInd w:val="0"/>
        <w:spacing w:after="0" w:line="240" w:lineRule="auto"/>
        <w:jc w:val="both"/>
        <w:rPr>
          <w:rFonts w:ascii="Times New Roman" w:hAnsi="Times New Roman" w:cs="Times New Roman"/>
          <w:sz w:val="24"/>
          <w:lang w:val="en-US"/>
        </w:rPr>
      </w:pPr>
    </w:p>
    <w:p w14:paraId="3486C1FC" w14:textId="533EBE6A" w:rsidR="003D1603" w:rsidRPr="00306990" w:rsidRDefault="00306990" w:rsidP="00306990">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Apakah</w:t>
      </w:r>
      <w:proofErr w:type="gramEnd"/>
      <w:r w:rsidR="003D1603" w:rsidRPr="00306990">
        <w:rPr>
          <w:rFonts w:ascii="Times New Roman" w:hAnsi="Times New Roman" w:cs="Times New Roman"/>
          <w:i/>
          <w:sz w:val="24"/>
          <w:lang w:val="en-US"/>
        </w:rPr>
        <w:t xml:space="preserve"> soal a dan b merupakan dua soal yang sama?</w:t>
      </w:r>
    </w:p>
    <w:p w14:paraId="30CCAB40" w14:textId="6A5FF724" w:rsidR="003D1603" w:rsidRPr="00306990" w:rsidRDefault="00306990" w:rsidP="00306990">
      <w:pPr>
        <w:autoSpaceDE w:val="0"/>
        <w:autoSpaceDN w:val="0"/>
        <w:adjustRightInd w:val="0"/>
        <w:spacing w:after="0" w:line="240" w:lineRule="auto"/>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Tidak</w:t>
      </w:r>
      <w:proofErr w:type="gramEnd"/>
      <w:r w:rsidR="003D1603" w:rsidRPr="00306990">
        <w:rPr>
          <w:rFonts w:ascii="Times New Roman" w:hAnsi="Times New Roman" w:cs="Times New Roman"/>
          <w:i/>
          <w:sz w:val="24"/>
          <w:lang w:val="en-US"/>
        </w:rPr>
        <w:t xml:space="preserve"> Bu</w:t>
      </w:r>
    </w:p>
    <w:p w14:paraId="36D293C3" w14:textId="065E6FF8" w:rsidR="003D1603" w:rsidRPr="00306990" w:rsidRDefault="00306990" w:rsidP="00306990">
      <w:pPr>
        <w:autoSpaceDE w:val="0"/>
        <w:autoSpaceDN w:val="0"/>
        <w:adjustRightInd w:val="0"/>
        <w:spacing w:after="0" w:line="240" w:lineRule="auto"/>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Perbedaannya</w:t>
      </w:r>
      <w:proofErr w:type="gramEnd"/>
      <w:r w:rsidR="003D1603" w:rsidRPr="00306990">
        <w:rPr>
          <w:rFonts w:ascii="Times New Roman" w:hAnsi="Times New Roman" w:cs="Times New Roman"/>
          <w:i/>
          <w:sz w:val="24"/>
          <w:lang w:val="en-US"/>
        </w:rPr>
        <w:t xml:space="preserve"> terletak dimana?</w:t>
      </w:r>
    </w:p>
    <w:p w14:paraId="477B6DB1" w14:textId="29CA98B2" w:rsidR="003D1603" w:rsidRPr="00306990" w:rsidRDefault="00306990" w:rsidP="00306990">
      <w:pPr>
        <w:autoSpaceDE w:val="0"/>
        <w:autoSpaceDN w:val="0"/>
        <w:adjustRightInd w:val="0"/>
        <w:spacing w:after="0" w:line="240" w:lineRule="auto"/>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Terletak</w:t>
      </w:r>
      <w:proofErr w:type="gramEnd"/>
      <w:r w:rsidR="003D1603" w:rsidRPr="00306990">
        <w:rPr>
          <w:rFonts w:ascii="Times New Roman" w:hAnsi="Times New Roman" w:cs="Times New Roman"/>
          <w:i/>
          <w:sz w:val="24"/>
          <w:lang w:val="en-US"/>
        </w:rPr>
        <w:t xml:space="preserve"> pada simbolnya. Untuk soal a menggunakan simbol </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xml:space="preserve"> yang berarti anggota himpunan, untuk soal b menggunakan simbol </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xml:space="preserve"> yang berarti subset.</w:t>
      </w:r>
    </w:p>
    <w:p w14:paraId="652BEE93" w14:textId="4B33E5B9" w:rsidR="003D1603" w:rsidRPr="00306990" w:rsidRDefault="00D81A6F" w:rsidP="00D81A6F">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Bagaimana</w:t>
      </w:r>
      <w:proofErr w:type="gramEnd"/>
      <w:r w:rsidR="003D1603" w:rsidRPr="00306990">
        <w:rPr>
          <w:rFonts w:ascii="Times New Roman" w:hAnsi="Times New Roman" w:cs="Times New Roman"/>
          <w:i/>
          <w:sz w:val="24"/>
          <w:lang w:val="en-US"/>
        </w:rPr>
        <w:t xml:space="preserve"> Anda menjawab soal a tersebut?</w:t>
      </w:r>
    </w:p>
    <w:p w14:paraId="616C5DFC" w14:textId="29C0DED3" w:rsidR="003D1603" w:rsidRPr="00306990" w:rsidRDefault="00D81A6F"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Untuk</w:t>
      </w:r>
      <w:proofErr w:type="gramEnd"/>
      <w:r w:rsidR="003D1603" w:rsidRPr="00306990">
        <w:rPr>
          <w:rFonts w:ascii="Times New Roman" w:hAnsi="Times New Roman" w:cs="Times New Roman"/>
          <w:i/>
          <w:sz w:val="24"/>
          <w:lang w:val="en-US"/>
        </w:rPr>
        <w:t xml:space="preserve"> soal a, pernyataan {</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adalah benar. Karena himpunan kosong merupakan anggota dari {</w:t>
      </w:r>
      <w:proofErr w:type="gramStart"/>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w:t>
      </w:r>
      <w:proofErr w:type="gramEnd"/>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xml:space="preserve">}}. </w:t>
      </w:r>
    </w:p>
    <w:p w14:paraId="155E6B8F" w14:textId="77777777" w:rsidR="003D1603" w:rsidRPr="00306990"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306990">
        <w:rPr>
          <w:rFonts w:ascii="Times New Roman" w:hAnsi="Times New Roman" w:cs="Times New Roman"/>
          <w:i/>
          <w:sz w:val="24"/>
          <w:lang w:val="en-US"/>
        </w:rPr>
        <w:lastRenderedPageBreak/>
        <w:t>Dosen</w:t>
      </w:r>
      <w:r w:rsidRPr="00306990">
        <w:rPr>
          <w:rFonts w:ascii="Times New Roman" w:hAnsi="Times New Roman" w:cs="Times New Roman"/>
          <w:i/>
          <w:sz w:val="24"/>
          <w:lang w:val="en-US"/>
        </w:rPr>
        <w:tab/>
        <w:t>: Coba perhatikan kembali soal a, apakah memang benar simbol {</w:t>
      </w:r>
      <w:r w:rsidRPr="00306990">
        <w:rPr>
          <w:rFonts w:ascii="Cambria Math" w:hAnsi="Cambria Math" w:cs="Cambria Math"/>
          <w:i/>
          <w:sz w:val="24"/>
          <w:lang w:val="en-US"/>
        </w:rPr>
        <w:t>∅</w:t>
      </w:r>
      <w:r w:rsidRPr="00306990">
        <w:rPr>
          <w:rFonts w:ascii="Times New Roman" w:hAnsi="Times New Roman" w:cs="Times New Roman"/>
          <w:i/>
          <w:sz w:val="24"/>
          <w:lang w:val="en-US"/>
        </w:rPr>
        <w:t>} disebut himpunan kosong?</w:t>
      </w:r>
    </w:p>
    <w:p w14:paraId="62510CB6" w14:textId="372DBD39" w:rsidR="003D1603" w:rsidRPr="00306990"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306990">
        <w:rPr>
          <w:rFonts w:ascii="Times New Roman" w:hAnsi="Times New Roman" w:cs="Times New Roman"/>
          <w:i/>
          <w:sz w:val="24"/>
          <w:lang w:val="en-US"/>
        </w:rPr>
        <w:t>Subjek</w:t>
      </w:r>
      <w:proofErr w:type="gramStart"/>
      <w:r w:rsidRPr="00306990">
        <w:rPr>
          <w:rFonts w:ascii="Times New Roman" w:hAnsi="Times New Roman" w:cs="Times New Roman"/>
          <w:i/>
          <w:sz w:val="24"/>
          <w:lang w:val="en-US"/>
        </w:rPr>
        <w:tab/>
      </w:r>
      <w:r w:rsidR="004D0001">
        <w:rPr>
          <w:rFonts w:ascii="Times New Roman" w:hAnsi="Times New Roman" w:cs="Times New Roman"/>
          <w:i/>
          <w:sz w:val="24"/>
          <w:lang w:val="en-US"/>
        </w:rPr>
        <w:t>:</w:t>
      </w:r>
      <w:r w:rsidRPr="00306990">
        <w:rPr>
          <w:rFonts w:ascii="Times New Roman" w:hAnsi="Times New Roman" w:cs="Times New Roman"/>
          <w:i/>
          <w:sz w:val="24"/>
          <w:lang w:val="en-US"/>
        </w:rPr>
        <w:t>Benar</w:t>
      </w:r>
      <w:proofErr w:type="gramEnd"/>
      <w:r w:rsidRPr="00306990">
        <w:rPr>
          <w:rFonts w:ascii="Times New Roman" w:hAnsi="Times New Roman" w:cs="Times New Roman"/>
          <w:i/>
          <w:sz w:val="24"/>
          <w:lang w:val="en-US"/>
        </w:rPr>
        <w:t xml:space="preserve"> pak. (sambil menunjuk </w:t>
      </w:r>
      <w:r w:rsidRPr="00306990">
        <w:rPr>
          <w:rFonts w:ascii="Cambria Math" w:hAnsi="Cambria Math" w:cs="Cambria Math"/>
          <w:i/>
          <w:sz w:val="24"/>
          <w:lang w:val="en-US"/>
        </w:rPr>
        <w:t>∅</w:t>
      </w:r>
      <w:r w:rsidRPr="00306990">
        <w:rPr>
          <w:rFonts w:ascii="Times New Roman" w:hAnsi="Times New Roman" w:cs="Times New Roman"/>
          <w:i/>
          <w:sz w:val="24"/>
          <w:lang w:val="en-US"/>
        </w:rPr>
        <w:t>)</w:t>
      </w:r>
    </w:p>
    <w:p w14:paraId="5A61920F" w14:textId="6CDA24E2" w:rsidR="003D1603" w:rsidRPr="00306990"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Bagaimana</w:t>
      </w:r>
      <w:proofErr w:type="gramEnd"/>
      <w:r w:rsidR="003D1603" w:rsidRPr="00306990">
        <w:rPr>
          <w:rFonts w:ascii="Times New Roman" w:hAnsi="Times New Roman" w:cs="Times New Roman"/>
          <w:i/>
          <w:sz w:val="24"/>
          <w:lang w:val="en-US"/>
        </w:rPr>
        <w:t xml:space="preserve"> Anda menjawab soal b?</w:t>
      </w:r>
    </w:p>
    <w:p w14:paraId="6C2D3186" w14:textId="57898E94" w:rsidR="003D1603" w:rsidRPr="00306990"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306990">
        <w:rPr>
          <w:rFonts w:ascii="Times New Roman" w:hAnsi="Times New Roman" w:cs="Times New Roman"/>
          <w:i/>
          <w:sz w:val="24"/>
          <w:lang w:val="en-US"/>
        </w:rPr>
        <w:t>Berdasarkan</w:t>
      </w:r>
      <w:proofErr w:type="gramEnd"/>
      <w:r w:rsidR="003D1603" w:rsidRPr="00306990">
        <w:rPr>
          <w:rFonts w:ascii="Times New Roman" w:hAnsi="Times New Roman" w:cs="Times New Roman"/>
          <w:i/>
          <w:sz w:val="24"/>
          <w:lang w:val="en-US"/>
        </w:rPr>
        <w:t xml:space="preserve"> definsi subset, yaitu himpunan A subset dari himpunan B jika semua anggota himpunan A berada pada himpunan B. terlihat pada pernyataan tersebut {</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berada pada himpunan {</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w:t>
      </w:r>
      <w:r w:rsidR="003D1603" w:rsidRPr="00306990">
        <w:rPr>
          <w:rFonts w:ascii="Cambria Math" w:hAnsi="Cambria Math" w:cs="Cambria Math"/>
          <w:i/>
          <w:sz w:val="24"/>
          <w:lang w:val="en-US"/>
        </w:rPr>
        <w:t>∅</w:t>
      </w:r>
      <w:r w:rsidR="003D1603" w:rsidRPr="00306990">
        <w:rPr>
          <w:rFonts w:ascii="Times New Roman" w:hAnsi="Times New Roman" w:cs="Times New Roman"/>
          <w:i/>
          <w:sz w:val="24"/>
          <w:lang w:val="en-US"/>
        </w:rPr>
        <w:t>}}. Jadi pernyataan tersebut benar.</w:t>
      </w:r>
    </w:p>
    <w:p w14:paraId="3D1983BC" w14:textId="77777777" w:rsidR="004D0001"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ab/>
      </w:r>
    </w:p>
    <w:p w14:paraId="1CD1C6FC" w14:textId="069CECB9"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Hasil wawancara di atas mendukung dugaan terjadinya miskonsepsi pada konsep subset yang berasal dari hasil tes mahasiswa. Temuan miskonsepsi lain berdasarkan wawancara tersebut adalah terkait konsep himpunan kosong dimana mahasiswa menyebutkan bahwa simbol {</w:t>
      </w:r>
      <w:r w:rsidRPr="003D1603">
        <w:rPr>
          <w:rFonts w:ascii="Cambria Math" w:hAnsi="Cambria Math" w:cs="Cambria Math"/>
          <w:sz w:val="24"/>
          <w:lang w:val="en-US"/>
        </w:rPr>
        <w:t>∅</w:t>
      </w:r>
      <w:r w:rsidRPr="003D1603">
        <w:rPr>
          <w:rFonts w:ascii="Times New Roman" w:hAnsi="Times New Roman" w:cs="Times New Roman"/>
          <w:sz w:val="24"/>
          <w:lang w:val="en-US"/>
        </w:rPr>
        <w:t>} bermakna himpunan kosong. Penafsiran konsep himpunan kosong yang tidak sesuai dengan makna konsep himpunan kosong itu sendiri.</w:t>
      </w:r>
    </w:p>
    <w:p w14:paraId="4D322204" w14:textId="77777777" w:rsidR="004D0001" w:rsidRPr="003D1603"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36CB7B34" w14:textId="2CFE0589" w:rsidR="003D1603" w:rsidRPr="004D0001" w:rsidRDefault="003D1603" w:rsidP="004D0001">
      <w:pPr>
        <w:pStyle w:val="ListParagraph"/>
        <w:numPr>
          <w:ilvl w:val="0"/>
          <w:numId w:val="1"/>
        </w:numPr>
        <w:autoSpaceDE w:val="0"/>
        <w:autoSpaceDN w:val="0"/>
        <w:adjustRightInd w:val="0"/>
        <w:spacing w:after="0" w:line="240" w:lineRule="auto"/>
        <w:ind w:left="426" w:hanging="426"/>
        <w:jc w:val="both"/>
        <w:rPr>
          <w:rFonts w:ascii="Times New Roman" w:hAnsi="Times New Roman" w:cs="Times New Roman"/>
          <w:b/>
          <w:sz w:val="24"/>
          <w:lang w:val="en-US"/>
        </w:rPr>
      </w:pPr>
      <w:r w:rsidRPr="004D0001">
        <w:rPr>
          <w:rFonts w:ascii="Times New Roman" w:hAnsi="Times New Roman" w:cs="Times New Roman"/>
          <w:b/>
          <w:sz w:val="24"/>
          <w:lang w:val="en-US"/>
        </w:rPr>
        <w:t xml:space="preserve">Subjek </w:t>
      </w:r>
      <w:r w:rsidRPr="004D0001">
        <w:rPr>
          <w:rFonts w:ascii="Times New Roman" w:hAnsi="Times New Roman" w:cs="Times New Roman"/>
          <w:b/>
          <w:i/>
          <w:sz w:val="24"/>
          <w:lang w:val="en-US"/>
        </w:rPr>
        <w:t>invalid general argument</w:t>
      </w:r>
    </w:p>
    <w:p w14:paraId="37424292" w14:textId="408AF7A8"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Adapun hasil jawaban soal tes dari subjek invalid general argument terdapat pada Gambar 2 di bawah ini.</w:t>
      </w:r>
    </w:p>
    <w:p w14:paraId="2E4BCF95"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46789A9E" w14:textId="77777777" w:rsidR="004D0001" w:rsidRDefault="004D0001" w:rsidP="004D0001">
      <w:pPr>
        <w:autoSpaceDE w:val="0"/>
        <w:autoSpaceDN w:val="0"/>
        <w:adjustRightInd w:val="0"/>
        <w:spacing w:after="0" w:line="240" w:lineRule="auto"/>
        <w:jc w:val="center"/>
        <w:rPr>
          <w:rFonts w:ascii="Times New Roman" w:hAnsi="Times New Roman" w:cs="Times New Roman"/>
          <w:sz w:val="24"/>
          <w:lang w:val="en-US"/>
        </w:rPr>
        <w:sectPr w:rsidR="004D0001" w:rsidSect="0050781C">
          <w:type w:val="continuous"/>
          <w:pgSz w:w="11907" w:h="16839" w:code="9"/>
          <w:pgMar w:top="1701" w:right="1701" w:bottom="1701" w:left="1701" w:header="708" w:footer="708" w:gutter="0"/>
          <w:cols w:num="2" w:space="708"/>
          <w:docGrid w:linePitch="360"/>
        </w:sectPr>
      </w:pPr>
    </w:p>
    <w:p w14:paraId="6955E101" w14:textId="5CE11E91" w:rsidR="004D0001" w:rsidRPr="003D1603" w:rsidRDefault="004D0001" w:rsidP="004D0001">
      <w:pPr>
        <w:autoSpaceDE w:val="0"/>
        <w:autoSpaceDN w:val="0"/>
        <w:adjustRightInd w:val="0"/>
        <w:spacing w:after="0" w:line="240" w:lineRule="auto"/>
        <w:jc w:val="center"/>
        <w:rPr>
          <w:rFonts w:ascii="Times New Roman" w:hAnsi="Times New Roman" w:cs="Times New Roman"/>
          <w:sz w:val="24"/>
          <w:lang w:val="en-US"/>
        </w:rPr>
      </w:pPr>
    </w:p>
    <w:p w14:paraId="0400BC3A" w14:textId="77777777"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 </w:t>
      </w:r>
    </w:p>
    <w:p w14:paraId="763E6672" w14:textId="7A7593DC"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6FCC86F0" w14:textId="040D580B"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r>
        <w:rPr>
          <w:rFonts w:ascii="Times New Roman" w:hAnsi="Times New Roman" w:cs="Times New Roman"/>
          <w:noProof/>
          <w:sz w:val="24"/>
          <w:szCs w:val="24"/>
          <w:lang w:val="en-US"/>
        </w:rPr>
        <w:drawing>
          <wp:anchor distT="0" distB="0" distL="114300" distR="114300" simplePos="0" relativeHeight="251653632" behindDoc="1" locked="0" layoutInCell="1" allowOverlap="1" wp14:anchorId="789C3368" wp14:editId="431CA830">
            <wp:simplePos x="0" y="0"/>
            <wp:positionH relativeFrom="column">
              <wp:posOffset>1463040</wp:posOffset>
            </wp:positionH>
            <wp:positionV relativeFrom="paragraph">
              <wp:posOffset>23495</wp:posOffset>
            </wp:positionV>
            <wp:extent cx="2475230" cy="1600200"/>
            <wp:effectExtent l="0" t="635" r="63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athur.jpg"/>
                    <pic:cNvPicPr/>
                  </pic:nvPicPr>
                  <pic:blipFill rotWithShape="1">
                    <a:blip r:embed="rId15" cstate="print">
                      <a:extLst>
                        <a:ext uri="{28A0092B-C50C-407E-A947-70E740481C1C}">
                          <a14:useLocalDpi xmlns:a14="http://schemas.microsoft.com/office/drawing/2010/main" val="0"/>
                        </a:ext>
                      </a:extLst>
                    </a:blip>
                    <a:srcRect l="15057" t="1720" r="26442" b="31038"/>
                    <a:stretch/>
                  </pic:blipFill>
                  <pic:spPr bwMode="auto">
                    <a:xfrm rot="16200000">
                      <a:off x="0" y="0"/>
                      <a:ext cx="247523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D058E" w14:textId="67BE9456"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0FBB5E44" w14:textId="22319DAE"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2A5A65E4" w14:textId="3D7F25E5"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4C382B7E" w14:textId="719C6BA7"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132E8937" w14:textId="4FB3F729"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3022CD2F" w14:textId="706BC8FB"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541EB4FD" w14:textId="32D1074D"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0CB35293" w14:textId="6AEB6D51"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2A21ED60" w14:textId="2FBDF863"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70A87523" w14:textId="1387A6DD"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3F599DC8" w14:textId="26653BC7" w:rsidR="004D0001" w:rsidRDefault="004D0001" w:rsidP="004D0001">
      <w:pPr>
        <w:autoSpaceDE w:val="0"/>
        <w:autoSpaceDN w:val="0"/>
        <w:adjustRightInd w:val="0"/>
        <w:spacing w:after="0" w:line="240" w:lineRule="auto"/>
        <w:jc w:val="center"/>
        <w:rPr>
          <w:rFonts w:ascii="Times New Roman" w:hAnsi="Times New Roman" w:cs="Times New Roman"/>
          <w:b/>
          <w:sz w:val="24"/>
          <w:lang w:val="en-US"/>
        </w:rPr>
      </w:pPr>
    </w:p>
    <w:p w14:paraId="2E4FA81B" w14:textId="3C13F3EA" w:rsidR="004D0001" w:rsidRDefault="003D1603" w:rsidP="004D0001">
      <w:pPr>
        <w:autoSpaceDE w:val="0"/>
        <w:autoSpaceDN w:val="0"/>
        <w:adjustRightInd w:val="0"/>
        <w:spacing w:after="0" w:line="240" w:lineRule="auto"/>
        <w:jc w:val="center"/>
        <w:rPr>
          <w:rFonts w:ascii="Times New Roman" w:hAnsi="Times New Roman" w:cs="Times New Roman"/>
          <w:b/>
          <w:i/>
          <w:sz w:val="24"/>
          <w:lang w:val="en-US"/>
        </w:rPr>
      </w:pPr>
      <w:r w:rsidRPr="004D0001">
        <w:rPr>
          <w:rFonts w:ascii="Times New Roman" w:hAnsi="Times New Roman" w:cs="Times New Roman"/>
          <w:b/>
          <w:sz w:val="24"/>
          <w:lang w:val="en-US"/>
        </w:rPr>
        <w:t xml:space="preserve">Gambar 2. Hasil pekerjaan subjek </w:t>
      </w:r>
      <w:r w:rsidR="004D0001">
        <w:rPr>
          <w:rFonts w:ascii="Times New Roman" w:hAnsi="Times New Roman" w:cs="Times New Roman"/>
          <w:b/>
          <w:i/>
          <w:sz w:val="24"/>
          <w:lang w:val="en-US"/>
        </w:rPr>
        <w:t>invalid general argument</w:t>
      </w:r>
    </w:p>
    <w:p w14:paraId="64813405" w14:textId="4BB57FC1" w:rsidR="0034317C" w:rsidRDefault="0034317C" w:rsidP="004D0001">
      <w:pPr>
        <w:autoSpaceDE w:val="0"/>
        <w:autoSpaceDN w:val="0"/>
        <w:adjustRightInd w:val="0"/>
        <w:spacing w:after="0" w:line="240" w:lineRule="auto"/>
        <w:jc w:val="center"/>
        <w:rPr>
          <w:rFonts w:ascii="Times New Roman" w:hAnsi="Times New Roman" w:cs="Times New Roman"/>
          <w:b/>
          <w:i/>
          <w:sz w:val="24"/>
          <w:lang w:val="en-US"/>
        </w:rPr>
      </w:pPr>
    </w:p>
    <w:p w14:paraId="0CF2E416" w14:textId="77777777" w:rsidR="0034317C" w:rsidRPr="004D0001" w:rsidRDefault="0034317C" w:rsidP="004D0001">
      <w:pPr>
        <w:autoSpaceDE w:val="0"/>
        <w:autoSpaceDN w:val="0"/>
        <w:adjustRightInd w:val="0"/>
        <w:spacing w:after="0" w:line="240" w:lineRule="auto"/>
        <w:jc w:val="center"/>
        <w:rPr>
          <w:rFonts w:ascii="Times New Roman" w:hAnsi="Times New Roman" w:cs="Times New Roman"/>
          <w:b/>
          <w:i/>
          <w:sz w:val="24"/>
          <w:lang w:val="en-US"/>
        </w:rPr>
        <w:sectPr w:rsidR="0034317C" w:rsidRPr="004D0001" w:rsidSect="004D0001">
          <w:type w:val="continuous"/>
          <w:pgSz w:w="11907" w:h="16839" w:code="9"/>
          <w:pgMar w:top="1701" w:right="1701" w:bottom="1701" w:left="1701" w:header="708" w:footer="708" w:gutter="0"/>
          <w:cols w:space="708"/>
          <w:docGrid w:linePitch="360"/>
        </w:sectPr>
      </w:pPr>
    </w:p>
    <w:p w14:paraId="6621F810" w14:textId="77A60B2F" w:rsidR="0092351A" w:rsidRDefault="003D1603" w:rsidP="0034317C">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lastRenderedPageBreak/>
        <w:t xml:space="preserve">Berdasarkan Gambar 2 di atas, mahasiswa dengan kriteria invalid general argument terlihat mengalami misonsepsi pada konsep anggota himpunan. Kesalahan konsep anggota himpunan terlihat pada bagian a) yaitu ketika mahasiswa memisalkan unsur a dengan </w:t>
      </w:r>
      <w:r w:rsidRPr="003D1603">
        <w:rPr>
          <w:rFonts w:ascii="Cambria Math" w:hAnsi="Cambria Math" w:cs="Cambria Math"/>
          <w:sz w:val="24"/>
          <w:lang w:val="en-US"/>
        </w:rPr>
        <w:t>∅</w:t>
      </w:r>
      <w:r w:rsidRPr="003D1603">
        <w:rPr>
          <w:rFonts w:ascii="Times New Roman" w:hAnsi="Times New Roman" w:cs="Times New Roman"/>
          <w:sz w:val="24"/>
          <w:lang w:val="en-US"/>
        </w:rPr>
        <w:t xml:space="preserve">. Padahal simbol </w:t>
      </w:r>
      <w:r w:rsidRPr="003D1603">
        <w:rPr>
          <w:rFonts w:ascii="Cambria Math" w:hAnsi="Cambria Math" w:cs="Cambria Math"/>
          <w:sz w:val="24"/>
          <w:lang w:val="en-US"/>
        </w:rPr>
        <w:t>∈</w:t>
      </w:r>
      <w:r w:rsidRPr="003D1603">
        <w:rPr>
          <w:rFonts w:ascii="Times New Roman" w:hAnsi="Times New Roman" w:cs="Times New Roman"/>
          <w:sz w:val="24"/>
          <w:lang w:val="en-US"/>
        </w:rPr>
        <w:t xml:space="preserve"> bermakna unsur. Seharusnya unsur yang dimaksud adalah {</w:t>
      </w:r>
      <w:r w:rsidRPr="003D1603">
        <w:rPr>
          <w:rFonts w:ascii="Cambria Math" w:hAnsi="Cambria Math" w:cs="Cambria Math"/>
          <w:sz w:val="24"/>
          <w:lang w:val="en-US"/>
        </w:rPr>
        <w:t>∅</w:t>
      </w:r>
      <w:r w:rsidRPr="003D1603">
        <w:rPr>
          <w:rFonts w:ascii="Times New Roman" w:hAnsi="Times New Roman" w:cs="Times New Roman"/>
          <w:sz w:val="24"/>
          <w:lang w:val="en-US"/>
        </w:rPr>
        <w:t>}. Berdasarkan hal tersebut tampak bahwa mahasiswa belum akurat dalam memaknai konsep anggota himpunan. Selain pada konsep anggota himpunan, miskonsepsi juga terjadi pada konsep subset. Terlihat ketika subjek menuliskan kesimpulan a</w:t>
      </w:r>
      <w:r w:rsidRPr="003D1603">
        <w:rPr>
          <w:rFonts w:ascii="Cambria Math" w:hAnsi="Cambria Math" w:cs="Cambria Math"/>
          <w:sz w:val="24"/>
          <w:lang w:val="en-US"/>
        </w:rPr>
        <w:t>⊆</w:t>
      </w:r>
      <w:r w:rsidRPr="003D1603">
        <w:rPr>
          <w:rFonts w:ascii="Times New Roman" w:hAnsi="Times New Roman" w:cs="Times New Roman"/>
          <w:sz w:val="24"/>
          <w:lang w:val="en-US"/>
        </w:rPr>
        <w:t>b. Padahal b merupakan salah satu anggota dari himpunan {</w:t>
      </w:r>
      <w:proofErr w:type="gramStart"/>
      <w:r w:rsidRPr="003D1603">
        <w:rPr>
          <w:rFonts w:ascii="Cambria Math" w:hAnsi="Cambria Math" w:cs="Cambria Math"/>
          <w:sz w:val="24"/>
          <w:lang w:val="en-US"/>
        </w:rPr>
        <w:t>∅</w:t>
      </w:r>
      <w:r w:rsidRPr="003D1603">
        <w:rPr>
          <w:rFonts w:ascii="Times New Roman" w:hAnsi="Times New Roman" w:cs="Times New Roman"/>
          <w:sz w:val="24"/>
          <w:lang w:val="en-US"/>
        </w:rPr>
        <w:t>,{</w:t>
      </w:r>
      <w:proofErr w:type="gramEnd"/>
      <w:r w:rsidRPr="003D1603">
        <w:rPr>
          <w:rFonts w:ascii="Cambria Math" w:hAnsi="Cambria Math" w:cs="Cambria Math"/>
          <w:sz w:val="24"/>
          <w:lang w:val="en-US"/>
        </w:rPr>
        <w:t>∅</w:t>
      </w:r>
      <w:r w:rsidRPr="003D1603">
        <w:rPr>
          <w:rFonts w:ascii="Times New Roman" w:hAnsi="Times New Roman" w:cs="Times New Roman"/>
          <w:sz w:val="24"/>
          <w:lang w:val="en-US"/>
        </w:rPr>
        <w:t>}}. Sehingga kesimpulan a</w:t>
      </w:r>
      <w:r w:rsidRPr="003D1603">
        <w:rPr>
          <w:rFonts w:ascii="Cambria Math" w:hAnsi="Cambria Math" w:cs="Cambria Math"/>
          <w:sz w:val="24"/>
          <w:lang w:val="en-US"/>
        </w:rPr>
        <w:t>⊆</w:t>
      </w:r>
      <w:r w:rsidRPr="003D1603">
        <w:rPr>
          <w:rFonts w:ascii="Times New Roman" w:hAnsi="Times New Roman" w:cs="Times New Roman"/>
          <w:sz w:val="24"/>
          <w:lang w:val="en-US"/>
        </w:rPr>
        <w:t>b belum menjawab permasalahan. Hal ini didukung dengan hasil wawancara terhadap subjek invalid general argument berikut ini.</w:t>
      </w:r>
    </w:p>
    <w:p w14:paraId="3807FAEB" w14:textId="77777777" w:rsidR="0034317C" w:rsidRPr="003D1603" w:rsidRDefault="0034317C" w:rsidP="0034317C">
      <w:pPr>
        <w:autoSpaceDE w:val="0"/>
        <w:autoSpaceDN w:val="0"/>
        <w:adjustRightInd w:val="0"/>
        <w:spacing w:after="0" w:line="240" w:lineRule="auto"/>
        <w:ind w:firstLine="567"/>
        <w:jc w:val="both"/>
        <w:rPr>
          <w:rFonts w:ascii="Times New Roman" w:hAnsi="Times New Roman" w:cs="Times New Roman"/>
          <w:sz w:val="24"/>
          <w:lang w:val="en-US"/>
        </w:rPr>
      </w:pPr>
    </w:p>
    <w:p w14:paraId="5C2A3FDD" w14:textId="6B951674"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Bagaimana</w:t>
      </w:r>
      <w:proofErr w:type="gramEnd"/>
      <w:r w:rsidR="003D1603" w:rsidRPr="004D0001">
        <w:rPr>
          <w:rFonts w:ascii="Times New Roman" w:hAnsi="Times New Roman" w:cs="Times New Roman"/>
          <w:i/>
          <w:sz w:val="24"/>
          <w:lang w:val="en-US"/>
        </w:rPr>
        <w:t xml:space="preserve"> Saudara menyelesaikan permasalahan a?</w:t>
      </w:r>
    </w:p>
    <w:p w14:paraId="5BE0F38D" w14:textId="2C8BDF88"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Agar</w:t>
      </w:r>
      <w:proofErr w:type="gramEnd"/>
      <w:r w:rsidR="003D1603" w:rsidRPr="004D0001">
        <w:rPr>
          <w:rFonts w:ascii="Times New Roman" w:hAnsi="Times New Roman" w:cs="Times New Roman"/>
          <w:i/>
          <w:sz w:val="24"/>
          <w:lang w:val="en-US"/>
        </w:rPr>
        <w:t xml:space="preserve"> saya tidak bingung, saya melakukakn pemisalan seperti ini Bu (menunjukkan pemisalah yang ditulis pada lembar jawab). Misal saya menyebut x</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A berarti x berada di A. Nah karena unsur a=</w:t>
      </w:r>
      <w:proofErr w:type="gramStart"/>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xml:space="preserve"> ,</w:t>
      </w:r>
      <w:proofErr w:type="gramEnd"/>
      <w:r w:rsidR="003D1603" w:rsidRPr="004D0001">
        <w:rPr>
          <w:rFonts w:ascii="Times New Roman" w:hAnsi="Times New Roman" w:cs="Times New Roman"/>
          <w:i/>
          <w:sz w:val="24"/>
          <w:lang w:val="en-US"/>
        </w:rPr>
        <w:t xml:space="preserve"> b=</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xml:space="preserve"> dan a=b bearti pernyataan a benar.</w:t>
      </w:r>
    </w:p>
    <w:p w14:paraId="5FEC4223" w14:textId="6E03BEB8" w:rsidR="003D1603" w:rsidRPr="004D0001" w:rsidRDefault="004D0001" w:rsidP="004D0001">
      <w:pPr>
        <w:autoSpaceDE w:val="0"/>
        <w:autoSpaceDN w:val="0"/>
        <w:adjustRightInd w:val="0"/>
        <w:spacing w:after="0" w:line="240" w:lineRule="auto"/>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Kenapa</w:t>
      </w:r>
      <w:proofErr w:type="gramEnd"/>
      <w:r w:rsidR="003D1603" w:rsidRPr="004D0001">
        <w:rPr>
          <w:rFonts w:ascii="Times New Roman" w:hAnsi="Times New Roman" w:cs="Times New Roman"/>
          <w:i/>
          <w:sz w:val="24"/>
          <w:lang w:val="en-US"/>
        </w:rPr>
        <w:t xml:space="preserve"> a=</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w:t>
      </w:r>
    </w:p>
    <w:p w14:paraId="05B2115C" w14:textId="2D7266F9" w:rsidR="003D1603" w:rsidRPr="004D0001"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4D0001">
        <w:rPr>
          <w:rFonts w:ascii="Times New Roman" w:hAnsi="Times New Roman" w:cs="Times New Roman"/>
          <w:i/>
          <w:sz w:val="24"/>
          <w:lang w:val="en-US"/>
        </w:rPr>
        <w:t>Subjek</w:t>
      </w:r>
      <w:proofErr w:type="gramStart"/>
      <w:r w:rsidRPr="004D0001">
        <w:rPr>
          <w:rFonts w:ascii="Times New Roman" w:hAnsi="Times New Roman" w:cs="Times New Roman"/>
          <w:i/>
          <w:sz w:val="24"/>
          <w:lang w:val="en-US"/>
        </w:rPr>
        <w:tab/>
        <w:t>:Karena</w:t>
      </w:r>
      <w:proofErr w:type="gramEnd"/>
      <w:r w:rsidRPr="004D0001">
        <w:rPr>
          <w:rFonts w:ascii="Times New Roman" w:hAnsi="Times New Roman" w:cs="Times New Roman"/>
          <w:i/>
          <w:sz w:val="24"/>
          <w:lang w:val="en-US"/>
        </w:rPr>
        <w:t xml:space="preserve"> anggota dari himpunan diruas kiri Bu ({</w:t>
      </w:r>
      <w:r w:rsidRPr="004D0001">
        <w:rPr>
          <w:rFonts w:ascii="Cambria Math" w:hAnsi="Cambria Math" w:cs="Cambria Math"/>
          <w:i/>
          <w:sz w:val="24"/>
          <w:lang w:val="en-US"/>
        </w:rPr>
        <w:t>∅</w:t>
      </w:r>
      <w:r w:rsidRPr="004D0001">
        <w:rPr>
          <w:rFonts w:ascii="Times New Roman" w:hAnsi="Times New Roman" w:cs="Times New Roman"/>
          <w:i/>
          <w:sz w:val="24"/>
          <w:lang w:val="en-US"/>
        </w:rPr>
        <w:t>}) karena yang ditanyakan adalah elemen.</w:t>
      </w:r>
    </w:p>
    <w:p w14:paraId="16AC1663" w14:textId="46C00B45" w:rsidR="004D0001" w:rsidRDefault="004D0001" w:rsidP="004D0001">
      <w:pPr>
        <w:autoSpaceDE w:val="0"/>
        <w:autoSpaceDN w:val="0"/>
        <w:adjustRightInd w:val="0"/>
        <w:spacing w:after="0" w:line="240" w:lineRule="auto"/>
        <w:jc w:val="both"/>
        <w:rPr>
          <w:rFonts w:ascii="Times New Roman" w:hAnsi="Times New Roman" w:cs="Times New Roman"/>
          <w:sz w:val="24"/>
          <w:lang w:val="en-US"/>
        </w:rPr>
      </w:pPr>
    </w:p>
    <w:p w14:paraId="1B50A554" w14:textId="485DD191" w:rsidR="003D1603" w:rsidRPr="004D0001" w:rsidRDefault="004D0001" w:rsidP="004D0001">
      <w:pPr>
        <w:pStyle w:val="ListParagraph"/>
        <w:numPr>
          <w:ilvl w:val="0"/>
          <w:numId w:val="1"/>
        </w:numPr>
        <w:autoSpaceDE w:val="0"/>
        <w:autoSpaceDN w:val="0"/>
        <w:adjustRightInd w:val="0"/>
        <w:spacing w:after="0" w:line="240" w:lineRule="auto"/>
        <w:ind w:left="426" w:hanging="426"/>
        <w:jc w:val="both"/>
        <w:rPr>
          <w:rFonts w:ascii="Times New Roman" w:hAnsi="Times New Roman" w:cs="Times New Roman"/>
          <w:b/>
          <w:sz w:val="24"/>
          <w:lang w:val="en-US"/>
        </w:rPr>
      </w:pPr>
      <w:r>
        <w:rPr>
          <w:rFonts w:ascii="Times New Roman" w:hAnsi="Times New Roman" w:cs="Times New Roman"/>
          <w:b/>
          <w:sz w:val="24"/>
          <w:lang w:val="en-US"/>
        </w:rPr>
        <w:t xml:space="preserve">Subjek </w:t>
      </w:r>
      <w:r w:rsidRPr="004D0001">
        <w:rPr>
          <w:rFonts w:ascii="Times New Roman" w:hAnsi="Times New Roman" w:cs="Times New Roman"/>
          <w:b/>
          <w:i/>
          <w:sz w:val="24"/>
          <w:lang w:val="en-US"/>
        </w:rPr>
        <w:t>Empirical A</w:t>
      </w:r>
      <w:r w:rsidR="003D1603" w:rsidRPr="004D0001">
        <w:rPr>
          <w:rFonts w:ascii="Times New Roman" w:hAnsi="Times New Roman" w:cs="Times New Roman"/>
          <w:b/>
          <w:i/>
          <w:sz w:val="24"/>
          <w:lang w:val="en-US"/>
        </w:rPr>
        <w:t>rgument</w:t>
      </w:r>
    </w:p>
    <w:p w14:paraId="7FE3561D" w14:textId="0C1DB430"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Gambar 3 berikut menyajikan hasil pekerjaan subjek dengan kriteria mengkornstruksi bukti empirical argument.</w:t>
      </w:r>
    </w:p>
    <w:p w14:paraId="231400BF"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sectPr w:rsidR="004D0001" w:rsidSect="004D0001">
          <w:type w:val="continuous"/>
          <w:pgSz w:w="11907" w:h="16839" w:code="9"/>
          <w:pgMar w:top="1701" w:right="1701" w:bottom="1701" w:left="1701" w:header="708" w:footer="708" w:gutter="0"/>
          <w:cols w:num="2" w:space="708"/>
          <w:docGrid w:linePitch="360"/>
        </w:sectPr>
      </w:pPr>
    </w:p>
    <w:p w14:paraId="4F6B8521" w14:textId="3D5673BB" w:rsidR="003D1603" w:rsidRPr="003D1603" w:rsidRDefault="003D1603" w:rsidP="004D0001">
      <w:pPr>
        <w:autoSpaceDE w:val="0"/>
        <w:autoSpaceDN w:val="0"/>
        <w:adjustRightInd w:val="0"/>
        <w:spacing w:after="0" w:line="240" w:lineRule="auto"/>
        <w:jc w:val="both"/>
        <w:rPr>
          <w:rFonts w:ascii="Times New Roman" w:hAnsi="Times New Roman" w:cs="Times New Roman"/>
          <w:sz w:val="24"/>
          <w:lang w:val="en-US"/>
        </w:rPr>
      </w:pPr>
    </w:p>
    <w:p w14:paraId="4B82DCBB" w14:textId="77777777"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1226152D" w14:textId="51A2DA16"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6F955894" w14:textId="6F002048"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72E34E42" w14:textId="153E2D98"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0D67DE30" w14:textId="64C3933A"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3DF41653" w14:textId="6FD76E55" w:rsidR="0034317C" w:rsidRDefault="0034317C" w:rsidP="004D0001">
      <w:pPr>
        <w:autoSpaceDE w:val="0"/>
        <w:autoSpaceDN w:val="0"/>
        <w:adjustRightInd w:val="0"/>
        <w:spacing w:after="0" w:line="240" w:lineRule="auto"/>
        <w:jc w:val="center"/>
        <w:rPr>
          <w:rFonts w:ascii="Times New Roman" w:hAnsi="Times New Roman" w:cs="Times New Roman"/>
          <w:b/>
          <w:sz w:val="24"/>
          <w:lang w:val="en-US"/>
        </w:rPr>
      </w:pPr>
    </w:p>
    <w:p w14:paraId="77A2A741" w14:textId="20B4E5C3" w:rsidR="0034317C" w:rsidRDefault="0034317C" w:rsidP="0034317C">
      <w:pPr>
        <w:autoSpaceDE w:val="0"/>
        <w:autoSpaceDN w:val="0"/>
        <w:adjustRightInd w:val="0"/>
        <w:spacing w:after="0" w:line="240" w:lineRule="auto"/>
        <w:jc w:val="center"/>
        <w:rPr>
          <w:rFonts w:ascii="Times New Roman" w:hAnsi="Times New Roman" w:cs="Times New Roman"/>
          <w:b/>
          <w:sz w:val="24"/>
          <w:lang w:val="en-US"/>
        </w:rPr>
      </w:pPr>
      <w:r>
        <w:rPr>
          <w:rFonts w:ascii="Times New Roman" w:hAnsi="Times New Roman" w:cs="Times New Roman"/>
          <w:noProof/>
          <w:sz w:val="24"/>
          <w:szCs w:val="24"/>
          <w:lang w:val="en-US"/>
        </w:rPr>
        <w:lastRenderedPageBreak/>
        <w:drawing>
          <wp:anchor distT="0" distB="0" distL="114300" distR="114300" simplePos="0" relativeHeight="251656704" behindDoc="0" locked="0" layoutInCell="1" allowOverlap="1" wp14:anchorId="5085E8C5" wp14:editId="5FA17EBF">
            <wp:simplePos x="0" y="0"/>
            <wp:positionH relativeFrom="column">
              <wp:posOffset>2002790</wp:posOffset>
            </wp:positionH>
            <wp:positionV relativeFrom="paragraph">
              <wp:posOffset>-1474470</wp:posOffset>
            </wp:positionV>
            <wp:extent cx="1804035" cy="4761230"/>
            <wp:effectExtent l="7303"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lus 1.jpeg"/>
                    <pic:cNvPicPr/>
                  </pic:nvPicPr>
                  <pic:blipFill rotWithShape="1">
                    <a:blip r:embed="rId16" cstate="print">
                      <a:extLst>
                        <a:ext uri="{28A0092B-C50C-407E-A947-70E740481C1C}">
                          <a14:useLocalDpi xmlns:a14="http://schemas.microsoft.com/office/drawing/2010/main" val="0"/>
                        </a:ext>
                      </a:extLst>
                    </a:blip>
                    <a:srcRect l="39518" t="8042" r="38735" b="15646"/>
                    <a:stretch/>
                  </pic:blipFill>
                  <pic:spPr bwMode="auto">
                    <a:xfrm rot="5400000">
                      <a:off x="0" y="0"/>
                      <a:ext cx="1804035" cy="4761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DF20B9" w14:textId="4CB9313C" w:rsidR="003D1603" w:rsidRPr="004D0001" w:rsidRDefault="003D1603" w:rsidP="004D0001">
      <w:pPr>
        <w:autoSpaceDE w:val="0"/>
        <w:autoSpaceDN w:val="0"/>
        <w:adjustRightInd w:val="0"/>
        <w:spacing w:after="0" w:line="240" w:lineRule="auto"/>
        <w:jc w:val="center"/>
        <w:rPr>
          <w:rFonts w:ascii="Times New Roman" w:hAnsi="Times New Roman" w:cs="Times New Roman"/>
          <w:b/>
          <w:i/>
          <w:sz w:val="24"/>
          <w:lang w:val="en-US"/>
        </w:rPr>
      </w:pPr>
      <w:r w:rsidRPr="004D0001">
        <w:rPr>
          <w:rFonts w:ascii="Times New Roman" w:hAnsi="Times New Roman" w:cs="Times New Roman"/>
          <w:b/>
          <w:sz w:val="24"/>
          <w:lang w:val="en-US"/>
        </w:rPr>
        <w:t xml:space="preserve">Gambar 3. Hasil pekerjaan subjek </w:t>
      </w:r>
      <w:r w:rsidRPr="004D0001">
        <w:rPr>
          <w:rFonts w:ascii="Times New Roman" w:hAnsi="Times New Roman" w:cs="Times New Roman"/>
          <w:b/>
          <w:i/>
          <w:sz w:val="24"/>
          <w:lang w:val="en-US"/>
        </w:rPr>
        <w:t>empirical argument</w:t>
      </w:r>
    </w:p>
    <w:p w14:paraId="6E6EE7A6" w14:textId="36EE9DC2"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7B26F743"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sectPr w:rsidR="004D0001" w:rsidSect="004D0001">
          <w:type w:val="continuous"/>
          <w:pgSz w:w="11907" w:h="16839" w:code="9"/>
          <w:pgMar w:top="1701" w:right="1701" w:bottom="1701" w:left="1701" w:header="708" w:footer="708" w:gutter="0"/>
          <w:cols w:space="708"/>
          <w:docGrid w:linePitch="360"/>
        </w:sectPr>
      </w:pPr>
    </w:p>
    <w:p w14:paraId="0CF73BF7" w14:textId="20E8C9BE"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lastRenderedPageBreak/>
        <w:t>Data terjadinya miskonsepsi yang terlihat pada hasil pekerjaan mahasiswa tersebut berkaitan dengan konsep himpunan, himpunan kosong, anggota, dan subset. Miskonsepsi pada konsep himpunan dan himpunan kosong terlihat ketika mahasiswa menyebutkan bahwa {</w:t>
      </w:r>
      <w:r w:rsidRPr="003D1603">
        <w:rPr>
          <w:rFonts w:ascii="Cambria Math" w:hAnsi="Cambria Math" w:cs="Cambria Math"/>
          <w:sz w:val="24"/>
          <w:lang w:val="en-US"/>
        </w:rPr>
        <w:t>∅</w:t>
      </w:r>
      <w:r w:rsidRPr="003D1603">
        <w:rPr>
          <w:rFonts w:ascii="Times New Roman" w:hAnsi="Times New Roman" w:cs="Times New Roman"/>
          <w:sz w:val="24"/>
          <w:lang w:val="en-US"/>
        </w:rPr>
        <w:t>} dan {</w:t>
      </w:r>
      <w:proofErr w:type="gramStart"/>
      <w:r w:rsidRPr="003D1603">
        <w:rPr>
          <w:rFonts w:ascii="Cambria Math" w:hAnsi="Cambria Math" w:cs="Cambria Math"/>
          <w:sz w:val="24"/>
          <w:lang w:val="en-US"/>
        </w:rPr>
        <w:t>∅</w:t>
      </w:r>
      <w:r w:rsidRPr="003D1603">
        <w:rPr>
          <w:rFonts w:ascii="Times New Roman" w:hAnsi="Times New Roman" w:cs="Times New Roman"/>
          <w:sz w:val="24"/>
          <w:lang w:val="en-US"/>
        </w:rPr>
        <w:t>,{</w:t>
      </w:r>
      <w:proofErr w:type="gramEnd"/>
      <w:r w:rsidRPr="003D1603">
        <w:rPr>
          <w:rFonts w:ascii="Cambria Math" w:hAnsi="Cambria Math" w:cs="Cambria Math"/>
          <w:sz w:val="24"/>
          <w:lang w:val="en-US"/>
        </w:rPr>
        <w:t>∅</w:t>
      </w:r>
      <w:r w:rsidRPr="003D1603">
        <w:rPr>
          <w:rFonts w:ascii="Times New Roman" w:hAnsi="Times New Roman" w:cs="Times New Roman"/>
          <w:sz w:val="24"/>
          <w:lang w:val="en-US"/>
        </w:rPr>
        <w:t xml:space="preserve">}} sebagai himpunan kosong. Hal ini memperlihatkan bahwa mahasiswa belum tepat menghubungkan konsep himpunan dengan konsep himpunan kosong. Miskonsepsi pada konsep anggota himpunan terjadi ketika mahasiswa tersebut belum tepat dalam mendiskripsikan </w:t>
      </w:r>
      <w:proofErr w:type="gramStart"/>
      <w:r w:rsidRPr="003D1603">
        <w:rPr>
          <w:rFonts w:ascii="Times New Roman" w:hAnsi="Times New Roman" w:cs="Times New Roman"/>
          <w:sz w:val="24"/>
          <w:lang w:val="en-US"/>
        </w:rPr>
        <w:t>simbol  {</w:t>
      </w:r>
      <w:proofErr w:type="gramEnd"/>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 Mahasiswa tidak menyadari bahwa deskripsi tersebut tidak sesuai dengan kondisi pernyataan yang diberikan. Hal ini menunjukkan bahwa mahasiswa mengalami kebingungan dalam menyatakan simbol atau konsep anggota himpunan. Pada konsep subset, miskonsepsi terlihat pada ketika mahasiswa menyebutkan kebenaran dari pernyataan {</w:t>
      </w:r>
      <w:proofErr w:type="gramStart"/>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proofErr w:type="gramEnd"/>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w:t>
      </w:r>
      <w:r w:rsidRPr="003D1603">
        <w:rPr>
          <w:rFonts w:ascii="Cambria Math" w:hAnsi="Cambria Math" w:cs="Cambria Math"/>
          <w:sz w:val="24"/>
          <w:lang w:val="en-US"/>
        </w:rPr>
        <w:t>∅</w:t>
      </w:r>
      <w:r w:rsidRPr="003D1603">
        <w:rPr>
          <w:rFonts w:ascii="Times New Roman" w:hAnsi="Times New Roman" w:cs="Times New Roman"/>
          <w:sz w:val="24"/>
          <w:lang w:val="en-US"/>
        </w:rPr>
        <w:t>}}. Subjek memberikan pengertian yang tidak akurat terkait pengertian konsep subset dengan hanya mneyebutkan “subset” tanpa menggunakan makna subset itu sendiri. Cuplikan wawancara berikut mendukung indikasi miskonsepsi yang diperoleh dari data hasil tes.</w:t>
      </w:r>
    </w:p>
    <w:p w14:paraId="1D903001" w14:textId="77777777" w:rsidR="004D0001" w:rsidRPr="003D1603"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03C435CC" w14:textId="5196A48F" w:rsidR="003D1603" w:rsidRPr="004D0001"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4D0001">
        <w:rPr>
          <w:rFonts w:ascii="Times New Roman" w:hAnsi="Times New Roman" w:cs="Times New Roman"/>
          <w:i/>
          <w:sz w:val="24"/>
          <w:lang w:val="en-US"/>
        </w:rPr>
        <w:lastRenderedPageBreak/>
        <w:t>Dosen</w:t>
      </w:r>
      <w:r w:rsidRPr="004D0001">
        <w:rPr>
          <w:rFonts w:ascii="Times New Roman" w:hAnsi="Times New Roman" w:cs="Times New Roman"/>
          <w:i/>
          <w:sz w:val="24"/>
          <w:lang w:val="en-US"/>
        </w:rPr>
        <w:tab/>
        <w:t>: Coba jelaskan bagaimana cara Anda menjawab soal bagian a?</w:t>
      </w:r>
    </w:p>
    <w:p w14:paraId="19507607" w14:textId="77777777" w:rsidR="003D1603" w:rsidRPr="004D0001"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4D0001">
        <w:rPr>
          <w:rFonts w:ascii="Times New Roman" w:hAnsi="Times New Roman" w:cs="Times New Roman"/>
          <w:i/>
          <w:sz w:val="24"/>
          <w:lang w:val="en-US"/>
        </w:rPr>
        <w:t>Subjek</w:t>
      </w:r>
      <w:r w:rsidRPr="004D0001">
        <w:rPr>
          <w:rFonts w:ascii="Times New Roman" w:hAnsi="Times New Roman" w:cs="Times New Roman"/>
          <w:i/>
          <w:sz w:val="24"/>
          <w:lang w:val="en-US"/>
        </w:rPr>
        <w:tab/>
        <w:t>: Pernyataan {</w:t>
      </w:r>
      <w:proofErr w:type="gramStart"/>
      <w:r w:rsidRPr="004D0001">
        <w:rPr>
          <w:rFonts w:ascii="Cambria Math" w:hAnsi="Cambria Math" w:cs="Cambria Math"/>
          <w:i/>
          <w:sz w:val="24"/>
          <w:lang w:val="en-US"/>
        </w:rPr>
        <w:t>∅</w:t>
      </w:r>
      <w:r w:rsidRPr="004D0001">
        <w:rPr>
          <w:rFonts w:ascii="Times New Roman" w:hAnsi="Times New Roman" w:cs="Times New Roman"/>
          <w:i/>
          <w:sz w:val="24"/>
          <w:lang w:val="en-US"/>
        </w:rPr>
        <w:t>}</w:t>
      </w:r>
      <w:r w:rsidRPr="004D0001">
        <w:rPr>
          <w:rFonts w:ascii="Cambria Math" w:hAnsi="Cambria Math" w:cs="Cambria Math"/>
          <w:i/>
          <w:sz w:val="24"/>
          <w:lang w:val="en-US"/>
        </w:rPr>
        <w:t>∈</w:t>
      </w:r>
      <w:proofErr w:type="gramEnd"/>
      <w:r w:rsidRPr="004D0001">
        <w:rPr>
          <w:rFonts w:ascii="Times New Roman" w:hAnsi="Times New Roman" w:cs="Times New Roman"/>
          <w:i/>
          <w:sz w:val="24"/>
          <w:lang w:val="en-US"/>
        </w:rPr>
        <w:t>{</w:t>
      </w:r>
      <w:r w:rsidRPr="004D0001">
        <w:rPr>
          <w:rFonts w:ascii="Cambria Math" w:hAnsi="Cambria Math" w:cs="Cambria Math"/>
          <w:i/>
          <w:sz w:val="24"/>
          <w:lang w:val="en-US"/>
        </w:rPr>
        <w:t>∅</w:t>
      </w:r>
      <w:r w:rsidRPr="004D0001">
        <w:rPr>
          <w:rFonts w:ascii="Times New Roman" w:hAnsi="Times New Roman" w:cs="Times New Roman"/>
          <w:i/>
          <w:sz w:val="24"/>
          <w:lang w:val="en-US"/>
        </w:rPr>
        <w:t>,{</w:t>
      </w:r>
      <w:r w:rsidRPr="004D0001">
        <w:rPr>
          <w:rFonts w:ascii="Cambria Math" w:hAnsi="Cambria Math" w:cs="Cambria Math"/>
          <w:i/>
          <w:sz w:val="24"/>
          <w:lang w:val="en-US"/>
        </w:rPr>
        <w:t>∅</w:t>
      </w:r>
      <w:r w:rsidRPr="004D0001">
        <w:rPr>
          <w:rFonts w:ascii="Times New Roman" w:hAnsi="Times New Roman" w:cs="Times New Roman"/>
          <w:i/>
          <w:sz w:val="24"/>
          <w:lang w:val="en-US"/>
        </w:rPr>
        <w:t>}} benar karena himpunan {</w:t>
      </w:r>
      <w:r w:rsidRPr="004D0001">
        <w:rPr>
          <w:rFonts w:ascii="Cambria Math" w:hAnsi="Cambria Math" w:cs="Cambria Math"/>
          <w:i/>
          <w:sz w:val="24"/>
          <w:lang w:val="en-US"/>
        </w:rPr>
        <w:t>∅</w:t>
      </w:r>
      <w:r w:rsidRPr="004D0001">
        <w:rPr>
          <w:rFonts w:ascii="Times New Roman" w:hAnsi="Times New Roman" w:cs="Times New Roman"/>
          <w:i/>
          <w:sz w:val="24"/>
          <w:lang w:val="en-US"/>
        </w:rPr>
        <w:t>,{</w:t>
      </w:r>
      <w:r w:rsidRPr="004D0001">
        <w:rPr>
          <w:rFonts w:ascii="Cambria Math" w:hAnsi="Cambria Math" w:cs="Cambria Math"/>
          <w:i/>
          <w:sz w:val="24"/>
          <w:lang w:val="en-US"/>
        </w:rPr>
        <w:t>∅</w:t>
      </w:r>
      <w:r w:rsidRPr="004D0001">
        <w:rPr>
          <w:rFonts w:ascii="Times New Roman" w:hAnsi="Times New Roman" w:cs="Times New Roman"/>
          <w:i/>
          <w:sz w:val="24"/>
          <w:lang w:val="en-US"/>
        </w:rPr>
        <w:t>}} adalah himpunan yang isinya simbol himpunan kosong. Jadi {</w:t>
      </w:r>
      <w:proofErr w:type="gramStart"/>
      <w:r w:rsidRPr="004D0001">
        <w:rPr>
          <w:rFonts w:ascii="Cambria Math" w:hAnsi="Cambria Math" w:cs="Cambria Math"/>
          <w:i/>
          <w:sz w:val="24"/>
          <w:lang w:val="en-US"/>
        </w:rPr>
        <w:t>∅</w:t>
      </w:r>
      <w:r w:rsidRPr="004D0001">
        <w:rPr>
          <w:rFonts w:ascii="Times New Roman" w:hAnsi="Times New Roman" w:cs="Times New Roman"/>
          <w:i/>
          <w:sz w:val="24"/>
          <w:lang w:val="en-US"/>
        </w:rPr>
        <w:t>,{</w:t>
      </w:r>
      <w:proofErr w:type="gramEnd"/>
      <w:r w:rsidRPr="004D0001">
        <w:rPr>
          <w:rFonts w:ascii="Cambria Math" w:hAnsi="Cambria Math" w:cs="Cambria Math"/>
          <w:i/>
          <w:sz w:val="24"/>
          <w:lang w:val="en-US"/>
        </w:rPr>
        <w:t>∅</w:t>
      </w:r>
      <w:r w:rsidRPr="004D0001">
        <w:rPr>
          <w:rFonts w:ascii="Times New Roman" w:hAnsi="Times New Roman" w:cs="Times New Roman"/>
          <w:i/>
          <w:sz w:val="24"/>
          <w:lang w:val="en-US"/>
        </w:rPr>
        <w:t>}} bisa disebut sebagai himpunan kosong.  Jadi benar jika himpunan kosong merupakan anggota himpunan {</w:t>
      </w:r>
      <w:proofErr w:type="gramStart"/>
      <w:r w:rsidRPr="004D0001">
        <w:rPr>
          <w:rFonts w:ascii="Cambria Math" w:hAnsi="Cambria Math" w:cs="Cambria Math"/>
          <w:i/>
          <w:sz w:val="24"/>
          <w:lang w:val="en-US"/>
        </w:rPr>
        <w:t>∅</w:t>
      </w:r>
      <w:r w:rsidRPr="004D0001">
        <w:rPr>
          <w:rFonts w:ascii="Times New Roman" w:hAnsi="Times New Roman" w:cs="Times New Roman"/>
          <w:i/>
          <w:sz w:val="24"/>
          <w:lang w:val="en-US"/>
        </w:rPr>
        <w:t>,{</w:t>
      </w:r>
      <w:proofErr w:type="gramEnd"/>
      <w:r w:rsidRPr="004D0001">
        <w:rPr>
          <w:rFonts w:ascii="Cambria Math" w:hAnsi="Cambria Math" w:cs="Cambria Math"/>
          <w:i/>
          <w:sz w:val="24"/>
          <w:lang w:val="en-US"/>
        </w:rPr>
        <w:t>∅</w:t>
      </w:r>
      <w:r w:rsidRPr="004D0001">
        <w:rPr>
          <w:rFonts w:ascii="Times New Roman" w:hAnsi="Times New Roman" w:cs="Times New Roman"/>
          <w:i/>
          <w:sz w:val="24"/>
          <w:lang w:val="en-US"/>
        </w:rPr>
        <w:t>}}.</w:t>
      </w:r>
    </w:p>
    <w:p w14:paraId="3ECCB6BF" w14:textId="1EE75ABB"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Bagaimana</w:t>
      </w:r>
      <w:proofErr w:type="gramEnd"/>
      <w:r w:rsidR="003D1603" w:rsidRPr="004D0001">
        <w:rPr>
          <w:rFonts w:ascii="Times New Roman" w:hAnsi="Times New Roman" w:cs="Times New Roman"/>
          <w:i/>
          <w:sz w:val="24"/>
          <w:lang w:val="en-US"/>
        </w:rPr>
        <w:t xml:space="preserve"> dengan soal bagian b?</w:t>
      </w:r>
    </w:p>
    <w:p w14:paraId="4E8B8CCF" w14:textId="1F774366"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:Y</w:t>
      </w:r>
      <w:r w:rsidR="003D1603" w:rsidRPr="004D0001">
        <w:rPr>
          <w:rFonts w:ascii="Times New Roman" w:hAnsi="Times New Roman" w:cs="Times New Roman"/>
          <w:i/>
          <w:sz w:val="24"/>
          <w:lang w:val="en-US"/>
        </w:rPr>
        <w:t>a</w:t>
      </w:r>
      <w:proofErr w:type="gramEnd"/>
      <w:r w:rsidR="003D1603" w:rsidRPr="004D0001">
        <w:rPr>
          <w:rFonts w:ascii="Times New Roman" w:hAnsi="Times New Roman" w:cs="Times New Roman"/>
          <w:i/>
          <w:sz w:val="24"/>
          <w:lang w:val="en-US"/>
        </w:rPr>
        <w:t xml:space="preserve"> karena ini (menunjuk {</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berada pada himpunan ini (menunjuk {</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berarti pernyataan tersebut benar.</w:t>
      </w:r>
    </w:p>
    <w:p w14:paraId="5E5D6592"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5AA5CFB8" w14:textId="3D6171F4"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Berdasarkan hasil wawancara di atas, dugaan miskonsepsi yang dipaparkan berdasarkan hasil tes tulis adalah benar. Mahasiswa mengalami miskonsepsi pada konsep himpunan, himpunan kosong, anggota himpunan dan subset.</w:t>
      </w:r>
    </w:p>
    <w:p w14:paraId="44868068" w14:textId="77777777" w:rsidR="004D0001"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ab/>
      </w:r>
    </w:p>
    <w:p w14:paraId="261E9C9D" w14:textId="0D2087F4" w:rsidR="003D1603" w:rsidRPr="004D0001" w:rsidRDefault="003D1603" w:rsidP="004D0001">
      <w:pPr>
        <w:pStyle w:val="ListParagraph"/>
        <w:numPr>
          <w:ilvl w:val="0"/>
          <w:numId w:val="1"/>
        </w:numPr>
        <w:autoSpaceDE w:val="0"/>
        <w:autoSpaceDN w:val="0"/>
        <w:adjustRightInd w:val="0"/>
        <w:spacing w:after="0" w:line="240" w:lineRule="auto"/>
        <w:ind w:left="426" w:hanging="426"/>
        <w:rPr>
          <w:rFonts w:ascii="Times New Roman" w:hAnsi="Times New Roman" w:cs="Times New Roman"/>
          <w:b/>
          <w:sz w:val="24"/>
          <w:lang w:val="en-US"/>
        </w:rPr>
      </w:pPr>
      <w:r w:rsidRPr="004D0001">
        <w:rPr>
          <w:rFonts w:ascii="Times New Roman" w:hAnsi="Times New Roman" w:cs="Times New Roman"/>
          <w:b/>
          <w:sz w:val="24"/>
          <w:lang w:val="en-US"/>
        </w:rPr>
        <w:t xml:space="preserve">Subjek </w:t>
      </w:r>
      <w:r w:rsidR="001D0516">
        <w:rPr>
          <w:rFonts w:ascii="Times New Roman" w:hAnsi="Times New Roman" w:cs="Times New Roman"/>
          <w:b/>
          <w:i/>
          <w:sz w:val="24"/>
          <w:lang w:val="en-US"/>
        </w:rPr>
        <w:t>Non Genuine A</w:t>
      </w:r>
      <w:r w:rsidRPr="004D0001">
        <w:rPr>
          <w:rFonts w:ascii="Times New Roman" w:hAnsi="Times New Roman" w:cs="Times New Roman"/>
          <w:b/>
          <w:i/>
          <w:sz w:val="24"/>
          <w:lang w:val="en-US"/>
        </w:rPr>
        <w:t>rgument</w:t>
      </w:r>
    </w:p>
    <w:p w14:paraId="7F6AF38B" w14:textId="34198585"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Pada subjek kriteria non genuine argument miskonsepsi terjadi pada konsep subset. Lebih jelas Gambar 4 berikut memaparkan hasil tes tulis mahasiswa dengan krtieria mengkonstruksi bukti non genuine argument.</w:t>
      </w:r>
    </w:p>
    <w:p w14:paraId="54EF53E1" w14:textId="4D8B27CA"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6E824161"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sectPr w:rsidR="004D0001" w:rsidSect="004D0001">
          <w:type w:val="continuous"/>
          <w:pgSz w:w="11907" w:h="16839" w:code="9"/>
          <w:pgMar w:top="1701" w:right="1701" w:bottom="1701" w:left="1701" w:header="708" w:footer="708" w:gutter="0"/>
          <w:cols w:num="2" w:space="708"/>
          <w:docGrid w:linePitch="360"/>
        </w:sectPr>
      </w:pPr>
    </w:p>
    <w:p w14:paraId="52240AEB" w14:textId="6B0FB713" w:rsidR="004D0001" w:rsidRPr="003D1603" w:rsidRDefault="004D0001" w:rsidP="004D0001">
      <w:pPr>
        <w:autoSpaceDE w:val="0"/>
        <w:autoSpaceDN w:val="0"/>
        <w:adjustRightInd w:val="0"/>
        <w:spacing w:after="0" w:line="240" w:lineRule="auto"/>
        <w:ind w:firstLine="567"/>
        <w:jc w:val="center"/>
        <w:rPr>
          <w:rFonts w:ascii="Times New Roman" w:hAnsi="Times New Roman" w:cs="Times New Roman"/>
          <w:sz w:val="24"/>
          <w:lang w:val="en-US"/>
        </w:rPr>
      </w:pPr>
      <w:r>
        <w:rPr>
          <w:rFonts w:ascii="Times New Roman" w:hAnsi="Times New Roman" w:cs="Times New Roman"/>
          <w:noProof/>
          <w:sz w:val="24"/>
          <w:szCs w:val="24"/>
          <w:lang w:val="en-US"/>
        </w:rPr>
        <w:lastRenderedPageBreak/>
        <w:drawing>
          <wp:inline distT="0" distB="0" distL="0" distR="0" wp14:anchorId="1E2B5FCF" wp14:editId="54B62754">
            <wp:extent cx="2475230" cy="1883375"/>
            <wp:effectExtent l="0" t="0" r="127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virza.jpg"/>
                    <pic:cNvPicPr/>
                  </pic:nvPicPr>
                  <pic:blipFill rotWithShape="1">
                    <a:blip r:embed="rId17" cstate="print">
                      <a:extLst>
                        <a:ext uri="{28A0092B-C50C-407E-A947-70E740481C1C}">
                          <a14:useLocalDpi xmlns:a14="http://schemas.microsoft.com/office/drawing/2010/main" val="0"/>
                        </a:ext>
                      </a:extLst>
                    </a:blip>
                    <a:srcRect l="8276" t="20023" r="41561" b="53820"/>
                    <a:stretch/>
                  </pic:blipFill>
                  <pic:spPr bwMode="auto">
                    <a:xfrm>
                      <a:off x="0" y="0"/>
                      <a:ext cx="2475230" cy="1883375"/>
                    </a:xfrm>
                    <a:prstGeom prst="rect">
                      <a:avLst/>
                    </a:prstGeom>
                    <a:ln>
                      <a:noFill/>
                    </a:ln>
                    <a:extLst>
                      <a:ext uri="{53640926-AAD7-44D8-BBD7-CCE9431645EC}">
                        <a14:shadowObscured xmlns:a14="http://schemas.microsoft.com/office/drawing/2010/main"/>
                      </a:ext>
                    </a:extLst>
                  </pic:spPr>
                </pic:pic>
              </a:graphicData>
            </a:graphic>
          </wp:inline>
        </w:drawing>
      </w:r>
    </w:p>
    <w:p w14:paraId="450E2AC2" w14:textId="77777777"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 </w:t>
      </w:r>
    </w:p>
    <w:p w14:paraId="4B8B39B4" w14:textId="77777777" w:rsidR="003D1603" w:rsidRPr="004D0001" w:rsidRDefault="003D1603" w:rsidP="004D0001">
      <w:pPr>
        <w:autoSpaceDE w:val="0"/>
        <w:autoSpaceDN w:val="0"/>
        <w:adjustRightInd w:val="0"/>
        <w:spacing w:after="0" w:line="240" w:lineRule="auto"/>
        <w:jc w:val="center"/>
        <w:rPr>
          <w:rFonts w:ascii="Times New Roman" w:hAnsi="Times New Roman" w:cs="Times New Roman"/>
          <w:b/>
          <w:sz w:val="24"/>
          <w:lang w:val="en-US"/>
        </w:rPr>
      </w:pPr>
      <w:r w:rsidRPr="004D0001">
        <w:rPr>
          <w:rFonts w:ascii="Times New Roman" w:hAnsi="Times New Roman" w:cs="Times New Roman"/>
          <w:b/>
          <w:sz w:val="24"/>
          <w:lang w:val="en-US"/>
        </w:rPr>
        <w:t xml:space="preserve">Gambar 4. Hasil pekerjaan subjek </w:t>
      </w:r>
      <w:r w:rsidRPr="004D0001">
        <w:rPr>
          <w:rFonts w:ascii="Times New Roman" w:hAnsi="Times New Roman" w:cs="Times New Roman"/>
          <w:b/>
          <w:i/>
          <w:sz w:val="24"/>
          <w:lang w:val="en-US"/>
        </w:rPr>
        <w:t>non genuine argument</w:t>
      </w:r>
    </w:p>
    <w:p w14:paraId="33274767" w14:textId="1C833ECA"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720C90D7"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sectPr w:rsidR="004D0001" w:rsidSect="004D0001">
          <w:type w:val="continuous"/>
          <w:pgSz w:w="11907" w:h="16839" w:code="9"/>
          <w:pgMar w:top="1701" w:right="1701" w:bottom="1701" w:left="1701" w:header="708" w:footer="708" w:gutter="0"/>
          <w:cols w:space="708"/>
          <w:docGrid w:linePitch="360"/>
        </w:sectPr>
      </w:pPr>
    </w:p>
    <w:p w14:paraId="048B96DB" w14:textId="6F73D984" w:rsidR="003D1603" w:rsidRPr="003D1603" w:rsidRDefault="003D1603" w:rsidP="004D0001">
      <w:pPr>
        <w:autoSpaceDE w:val="0"/>
        <w:autoSpaceDN w:val="0"/>
        <w:adjustRightInd w:val="0"/>
        <w:spacing w:after="0" w:line="240" w:lineRule="auto"/>
        <w:jc w:val="both"/>
        <w:rPr>
          <w:rFonts w:ascii="Times New Roman" w:hAnsi="Times New Roman" w:cs="Times New Roman"/>
          <w:sz w:val="24"/>
          <w:lang w:val="en-US"/>
        </w:rPr>
      </w:pPr>
      <w:r w:rsidRPr="003D1603">
        <w:rPr>
          <w:rFonts w:ascii="Times New Roman" w:hAnsi="Times New Roman" w:cs="Times New Roman"/>
          <w:sz w:val="24"/>
          <w:lang w:val="en-US"/>
        </w:rPr>
        <w:lastRenderedPageBreak/>
        <w:tab/>
        <w:t>Berdasarkan Gambar 3 tersebut, subjek non genuine argument mengalami miskonsepsi pada konsep anggota himpunan. Hal ini terlihat dari pernyataan mahasiwa pada bagian b yang menyebutkan bahwa “elemen di A tidak ada di B”. Pernyataan ini mengindikasikan bahwa mahasiswa mengalami miskonsepsi terkait konsep anggota himpunan. Jelas bahwa {</w:t>
      </w:r>
      <w:r w:rsidRPr="003D1603">
        <w:rPr>
          <w:rFonts w:ascii="Cambria Math" w:hAnsi="Cambria Math" w:cs="Cambria Math"/>
          <w:sz w:val="24"/>
          <w:lang w:val="en-US"/>
        </w:rPr>
        <w:t>∅</w:t>
      </w:r>
      <w:r w:rsidRPr="003D1603">
        <w:rPr>
          <w:rFonts w:ascii="Times New Roman" w:hAnsi="Times New Roman" w:cs="Times New Roman"/>
          <w:sz w:val="24"/>
          <w:lang w:val="en-US"/>
        </w:rPr>
        <w:t xml:space="preserve">} merupakan himpunan yang memiliki anggota </w:t>
      </w:r>
      <w:r w:rsidRPr="003D1603">
        <w:rPr>
          <w:rFonts w:ascii="Cambria Math" w:hAnsi="Cambria Math" w:cs="Cambria Math"/>
          <w:sz w:val="24"/>
          <w:lang w:val="en-US"/>
        </w:rPr>
        <w:t>∅</w:t>
      </w:r>
      <w:r w:rsidRPr="003D1603">
        <w:rPr>
          <w:rFonts w:ascii="Times New Roman" w:hAnsi="Times New Roman" w:cs="Times New Roman"/>
          <w:sz w:val="24"/>
          <w:lang w:val="en-US"/>
        </w:rPr>
        <w:t xml:space="preserve"> dimana </w:t>
      </w:r>
      <w:r w:rsidRPr="003D1603">
        <w:rPr>
          <w:rFonts w:ascii="Cambria Math" w:hAnsi="Cambria Math" w:cs="Cambria Math"/>
          <w:sz w:val="24"/>
          <w:lang w:val="en-US"/>
        </w:rPr>
        <w:t>∅</w:t>
      </w:r>
      <w:r w:rsidRPr="003D1603">
        <w:rPr>
          <w:rFonts w:ascii="Times New Roman" w:hAnsi="Times New Roman" w:cs="Times New Roman"/>
          <w:sz w:val="24"/>
          <w:lang w:val="en-US"/>
        </w:rPr>
        <w:t xml:space="preserve"> berada pada {</w:t>
      </w:r>
      <w:proofErr w:type="gramStart"/>
      <w:r w:rsidRPr="003D1603">
        <w:rPr>
          <w:rFonts w:ascii="Cambria Math" w:hAnsi="Cambria Math" w:cs="Cambria Math"/>
          <w:sz w:val="24"/>
          <w:lang w:val="en-US"/>
        </w:rPr>
        <w:t>∅</w:t>
      </w:r>
      <w:r w:rsidRPr="003D1603">
        <w:rPr>
          <w:rFonts w:ascii="Times New Roman" w:hAnsi="Times New Roman" w:cs="Times New Roman"/>
          <w:sz w:val="24"/>
          <w:lang w:val="en-US"/>
        </w:rPr>
        <w:t>,{</w:t>
      </w:r>
      <w:proofErr w:type="gramEnd"/>
      <w:r w:rsidRPr="003D1603">
        <w:rPr>
          <w:rFonts w:ascii="Cambria Math" w:hAnsi="Cambria Math" w:cs="Cambria Math"/>
          <w:sz w:val="24"/>
          <w:lang w:val="en-US"/>
        </w:rPr>
        <w:t>∅</w:t>
      </w:r>
      <w:r w:rsidRPr="003D1603">
        <w:rPr>
          <w:rFonts w:ascii="Times New Roman" w:hAnsi="Times New Roman" w:cs="Times New Roman"/>
          <w:sz w:val="24"/>
          <w:lang w:val="en-US"/>
        </w:rPr>
        <w:t xml:space="preserve">}}. Selain konsep anggota himpunan, miskonsepsi terjadi pada konsep logika matematika lebih tepatnya pada konsep negasi pada iimplikasi. Pada hasil tersebut mahasiswa menyimpulkan “bukan subset” dengan alasan himpunan di A tidak ada di B dan sebaliknya himpunan di B tidak ada di A. </w:t>
      </w:r>
    </w:p>
    <w:p w14:paraId="7A270A00" w14:textId="4A6C864D" w:rsid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Berikut hasil wawancara dengan subjek non genuine argument.</w:t>
      </w:r>
    </w:p>
    <w:p w14:paraId="406920CC" w14:textId="77777777" w:rsidR="004D0001" w:rsidRPr="003D1603"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46B795EA" w14:textId="4BEECB4F" w:rsidR="003D1603" w:rsidRPr="004D0001" w:rsidRDefault="003D1603"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sidRPr="004D0001">
        <w:rPr>
          <w:rFonts w:ascii="Times New Roman" w:hAnsi="Times New Roman" w:cs="Times New Roman"/>
          <w:i/>
          <w:sz w:val="24"/>
          <w:lang w:val="en-US"/>
        </w:rPr>
        <w:t>Dos</w:t>
      </w:r>
      <w:r w:rsidR="004D0001">
        <w:rPr>
          <w:rFonts w:ascii="Times New Roman" w:hAnsi="Times New Roman" w:cs="Times New Roman"/>
          <w:i/>
          <w:sz w:val="24"/>
          <w:lang w:val="en-US"/>
        </w:rPr>
        <w:t>en</w:t>
      </w:r>
      <w:proofErr w:type="gramStart"/>
      <w:r w:rsidR="004D0001">
        <w:rPr>
          <w:rFonts w:ascii="Times New Roman" w:hAnsi="Times New Roman" w:cs="Times New Roman"/>
          <w:i/>
          <w:sz w:val="24"/>
          <w:lang w:val="en-US"/>
        </w:rPr>
        <w:tab/>
        <w:t>:</w:t>
      </w:r>
      <w:r w:rsidRPr="004D0001">
        <w:rPr>
          <w:rFonts w:ascii="Times New Roman" w:hAnsi="Times New Roman" w:cs="Times New Roman"/>
          <w:i/>
          <w:sz w:val="24"/>
          <w:lang w:val="en-US"/>
        </w:rPr>
        <w:t>Bagaimana</w:t>
      </w:r>
      <w:proofErr w:type="gramEnd"/>
      <w:r w:rsidRPr="004D0001">
        <w:rPr>
          <w:rFonts w:ascii="Times New Roman" w:hAnsi="Times New Roman" w:cs="Times New Roman"/>
          <w:i/>
          <w:sz w:val="24"/>
          <w:lang w:val="en-US"/>
        </w:rPr>
        <w:t xml:space="preserve"> Anda menentukan kebenaran dari pernyataan bagian b?</w:t>
      </w:r>
    </w:p>
    <w:p w14:paraId="0BFF0BDA" w14:textId="7963E1BC"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Sesuai</w:t>
      </w:r>
      <w:proofErr w:type="gramEnd"/>
      <w:r w:rsidR="003D1603" w:rsidRPr="004D0001">
        <w:rPr>
          <w:rFonts w:ascii="Times New Roman" w:hAnsi="Times New Roman" w:cs="Times New Roman"/>
          <w:i/>
          <w:sz w:val="24"/>
          <w:lang w:val="en-US"/>
        </w:rPr>
        <w:t xml:space="preserve"> dengan definisi subset yang telah saya sebutkan, karena {</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tidak ada di {</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dan sebaliknya. Sehingga {</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bukan subset dari {</w:t>
      </w:r>
      <w:proofErr w:type="gramStart"/>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w:t>
      </w:r>
      <w:proofErr w:type="gramEnd"/>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xml:space="preserve">}}. </w:t>
      </w:r>
    </w:p>
    <w:p w14:paraId="52765581" w14:textId="7AFA2031"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lastRenderedPageBreak/>
        <w:t>Dosen</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Oh</w:t>
      </w:r>
      <w:proofErr w:type="gramEnd"/>
      <w:r w:rsidR="003D1603" w:rsidRPr="004D0001">
        <w:rPr>
          <w:rFonts w:ascii="Times New Roman" w:hAnsi="Times New Roman" w:cs="Times New Roman"/>
          <w:i/>
          <w:sz w:val="24"/>
          <w:lang w:val="en-US"/>
        </w:rPr>
        <w:t>, apakah benar begitu cara menentukan “bukan subset”?</w:t>
      </w:r>
    </w:p>
    <w:p w14:paraId="20BB0F41" w14:textId="4720C15E"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Benar</w:t>
      </w:r>
      <w:proofErr w:type="gramEnd"/>
      <w:r w:rsidR="003D1603" w:rsidRPr="004D0001">
        <w:rPr>
          <w:rFonts w:ascii="Times New Roman" w:hAnsi="Times New Roman" w:cs="Times New Roman"/>
          <w:i/>
          <w:sz w:val="24"/>
          <w:lang w:val="en-US"/>
        </w:rPr>
        <w:t>. saya menentukan negasi yang berasal dari definisi subset yang berbentuk iimplikasi. Negasi dari p→q adalah ¬p→¬q.</w:t>
      </w:r>
    </w:p>
    <w:p w14:paraId="4344FED7" w14:textId="514FD7C3"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Dosen</w:t>
      </w:r>
      <w:proofErr w:type="gramStart"/>
      <w:r>
        <w:rPr>
          <w:rFonts w:ascii="Times New Roman" w:hAnsi="Times New Roman" w:cs="Times New Roman"/>
          <w:i/>
          <w:sz w:val="24"/>
          <w:lang w:val="en-US"/>
        </w:rPr>
        <w:tab/>
        <w:t>:</w:t>
      </w:r>
      <w:r w:rsidR="003D1603" w:rsidRPr="004D0001">
        <w:rPr>
          <w:rFonts w:ascii="Times New Roman" w:hAnsi="Times New Roman" w:cs="Times New Roman"/>
          <w:i/>
          <w:sz w:val="24"/>
          <w:lang w:val="en-US"/>
        </w:rPr>
        <w:t>Di</w:t>
      </w:r>
      <w:proofErr w:type="gramEnd"/>
      <w:r w:rsidR="003D1603" w:rsidRPr="004D0001">
        <w:rPr>
          <w:rFonts w:ascii="Times New Roman" w:hAnsi="Times New Roman" w:cs="Times New Roman"/>
          <w:i/>
          <w:sz w:val="24"/>
          <w:lang w:val="en-US"/>
        </w:rPr>
        <w:t xml:space="preserve"> hasil tes ini Anda menyebutkan A={</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dan B={</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w:t>
      </w:r>
      <w:r w:rsidR="003D1603" w:rsidRPr="004D0001">
        <w:rPr>
          <w:rFonts w:ascii="Cambria Math" w:hAnsi="Cambria Math" w:cs="Cambria Math"/>
          <w:i/>
          <w:sz w:val="24"/>
          <w:lang w:val="en-US"/>
        </w:rPr>
        <w:t>∅</w:t>
      </w:r>
      <w:r w:rsidR="003D1603" w:rsidRPr="004D0001">
        <w:rPr>
          <w:rFonts w:ascii="Times New Roman" w:hAnsi="Times New Roman" w:cs="Times New Roman"/>
          <w:i/>
          <w:sz w:val="24"/>
          <w:lang w:val="en-US"/>
        </w:rPr>
        <w:t>}} dimana elemen di A tidak ada di B. mengapa demikian?</w:t>
      </w:r>
    </w:p>
    <w:p w14:paraId="48F149DC" w14:textId="1830781B" w:rsidR="003D1603" w:rsidRPr="004D0001" w:rsidRDefault="004D0001" w:rsidP="004D0001">
      <w:pPr>
        <w:autoSpaceDE w:val="0"/>
        <w:autoSpaceDN w:val="0"/>
        <w:adjustRightInd w:val="0"/>
        <w:spacing w:after="0" w:line="240" w:lineRule="auto"/>
        <w:ind w:left="709" w:hanging="709"/>
        <w:jc w:val="both"/>
        <w:rPr>
          <w:rFonts w:ascii="Times New Roman" w:hAnsi="Times New Roman" w:cs="Times New Roman"/>
          <w:i/>
          <w:sz w:val="24"/>
          <w:lang w:val="en-US"/>
        </w:rPr>
      </w:pPr>
      <w:r>
        <w:rPr>
          <w:rFonts w:ascii="Times New Roman" w:hAnsi="Times New Roman" w:cs="Times New Roman"/>
          <w:i/>
          <w:sz w:val="24"/>
          <w:lang w:val="en-US"/>
        </w:rPr>
        <w:t>Subjek</w:t>
      </w:r>
      <w:proofErr w:type="gramStart"/>
      <w:r>
        <w:rPr>
          <w:rFonts w:ascii="Times New Roman" w:hAnsi="Times New Roman" w:cs="Times New Roman"/>
          <w:i/>
          <w:sz w:val="24"/>
          <w:lang w:val="en-US"/>
        </w:rPr>
        <w:tab/>
        <w:t>:A</w:t>
      </w:r>
      <w:r w:rsidR="003D1603" w:rsidRPr="004D0001">
        <w:rPr>
          <w:rFonts w:ascii="Times New Roman" w:hAnsi="Times New Roman" w:cs="Times New Roman"/>
          <w:i/>
          <w:sz w:val="24"/>
          <w:lang w:val="en-US"/>
        </w:rPr>
        <w:t>nggota</w:t>
      </w:r>
      <w:proofErr w:type="gramEnd"/>
      <w:r w:rsidR="003D1603" w:rsidRPr="004D0001">
        <w:rPr>
          <w:rFonts w:ascii="Times New Roman" w:hAnsi="Times New Roman" w:cs="Times New Roman"/>
          <w:i/>
          <w:sz w:val="24"/>
          <w:lang w:val="en-US"/>
        </w:rPr>
        <w:t xml:space="preserve"> dari himpunan A adalah himpunan kosong. Kalau himpunan kosong, jelas tidak memiliki anggota sehingga tidak dapat berada di himpunan lain termasuk himpunan B. </w:t>
      </w:r>
    </w:p>
    <w:p w14:paraId="3FB7017F" w14:textId="77777777" w:rsidR="004D0001" w:rsidRDefault="004D0001" w:rsidP="003D1603">
      <w:pPr>
        <w:autoSpaceDE w:val="0"/>
        <w:autoSpaceDN w:val="0"/>
        <w:adjustRightInd w:val="0"/>
        <w:spacing w:after="0" w:line="240" w:lineRule="auto"/>
        <w:ind w:firstLine="567"/>
        <w:jc w:val="both"/>
        <w:rPr>
          <w:rFonts w:ascii="Times New Roman" w:hAnsi="Times New Roman" w:cs="Times New Roman"/>
          <w:sz w:val="24"/>
          <w:lang w:val="en-US"/>
        </w:rPr>
      </w:pPr>
    </w:p>
    <w:p w14:paraId="6BAB48E6" w14:textId="62B47345"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Hasil wawancara di atas terlihat bahwa selain mengalami miskonsepsi pada konsep anggota himpunan dan negasi pada implikasi, mahasiswa juga mengalami miskonsepsi pada konsep himpunan kosong.</w:t>
      </w:r>
    </w:p>
    <w:p w14:paraId="25188070" w14:textId="78E57A53" w:rsidR="003D1603" w:rsidRPr="003D1603" w:rsidRDefault="003D1603" w:rsidP="003D1603">
      <w:pPr>
        <w:autoSpaceDE w:val="0"/>
        <w:autoSpaceDN w:val="0"/>
        <w:adjustRightInd w:val="0"/>
        <w:spacing w:after="0" w:line="240" w:lineRule="auto"/>
        <w:ind w:firstLine="567"/>
        <w:jc w:val="both"/>
        <w:rPr>
          <w:rFonts w:ascii="Times New Roman" w:hAnsi="Times New Roman" w:cs="Times New Roman"/>
          <w:sz w:val="24"/>
          <w:lang w:val="en-US"/>
        </w:rPr>
      </w:pPr>
      <w:r w:rsidRPr="003D1603">
        <w:rPr>
          <w:rFonts w:ascii="Times New Roman" w:hAnsi="Times New Roman" w:cs="Times New Roman"/>
          <w:sz w:val="24"/>
          <w:lang w:val="en-US"/>
        </w:rPr>
        <w:t xml:space="preserve">Berdasarkan paparan dari hasil penelitian di atas, meskipun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{"citationItems":[{"id":"ITEM-1","itemData":{"DOI":"10.1590/1980-4415v31n57a21","ISSN":"1980-4415","abstract":"Proof is an activity that plays a key role in the construction of mathematical knowledge, which is why it acquires relevance in mathematics programs. Admitting that teachers' conceptions about proof influence how it is handled in the classroom, we tried to investigate the conceptions of Portuguese mathematics teachers from the 3rd cycle of basic education (grade 7 to 9) on different aspects of mathematical proof and the relationship that the teachers' experience has in these conceptions. Adopting a mixed methodological approach, we collected data through a questionnaire answered by 72 teachers, and an interview with two teachers with different professional experience. The results show that teachers, especially those with less experience, consider that mathematical proof has a distinct nature from other disciplines, it is an essential activity for the construction of mathematical knowledge and its function is to verify and explain the truth of a statement by developing reasoning and mathematical communication. With respect to student participation in the activity of proving, teachers with more teaching experience are the ones that most highlight it, which allows students to realize the nature of this activity. In curriculum terms, teachers with less experience are the ones that most agree with the presence of proof in early grades, while emphasizing that this activity only makes sense in some program topics.","author":[{"dropping-particle":"","family":"Viseu","given":"Floriano","non-dropping-particle":"","parse-names":false,"suffix":""},{"dropping-particle":"","family":"Menezes","given":"Luís","non-dropping-particle":"","parse-names":false,"suffix":""},{"dropping-particle":"","family":"Fernandes","given":"José António","non-dropping-particle":"","parse-names":false,"suffix":""},{"dropping-particle":"","family":"Gomes","given":"Alexandra","non-dropping-particle":"","parse-names":false,"suffix":""},{"dropping-particle":"","family":"Martins","given":"Paula Mendes","non-dropping-particle":"","parse-names":false,"suffix":""}],"container-title":"Bolema - Mathematics Education Bulletin","id":"ITEM-1","issue":"57","issued":{"date-parts":[["2017"]]},"page":"430-453","title":"Conceptions of basic education teachers about math proof: Influence of professional experience","type":"article-journal","volume":"31"},"uris":["http://www.mendeley.com/documents/?uuid=7364c1c9-d8c2-3dbc-bd44-73b45c485446"]}],"mendeley":{"formattedCitation":"(Viseu, Menezes, Fernandes, Gomes, &amp; Martins, 2017)","plainTextFormattedCitation":"(Viseu, Menezes, Fernandes, Gomes, &amp; Martins, 2017)","previouslyFormattedCitation":"(Viseu, Menezes, Fernandes, Gomes, &amp; Martins, 2017)"},"properties":{"noteIndex":0},"schema":"https://github.com/citation-style-language/schema/raw/master/csl-citation.json"}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(Viseu, Menezes, Fernandes, Gomes, &amp; Martins, 2017)</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menyatakan bahwa kemampuan mengkonstruksi bukti dapat digunakan sebagai modal utama dalam memverifikasi nilai kebenaran suatu pernyataan matematis, pernyataan </w:t>
      </w:r>
      <w:r w:rsidRPr="003D1603">
        <w:rPr>
          <w:rFonts w:ascii="Times New Roman" w:hAnsi="Times New Roman" w:cs="Times New Roman"/>
          <w:sz w:val="24"/>
          <w:lang w:val="en-US"/>
        </w:rPr>
        <w:lastRenderedPageBreak/>
        <w:t xml:space="preserve">ini tidaklah selalu benar. Terlihat dari subjek dengan kriteria mengkonstruksi bukti level tinggi yaitu </w:t>
      </w:r>
      <w:r w:rsidRPr="0092351A">
        <w:rPr>
          <w:rFonts w:ascii="Times New Roman" w:hAnsi="Times New Roman" w:cs="Times New Roman"/>
          <w:i/>
          <w:sz w:val="24"/>
          <w:lang w:val="en-US"/>
        </w:rPr>
        <w:t>general argument</w:t>
      </w:r>
      <w:r w:rsidRPr="003D1603">
        <w:rPr>
          <w:rFonts w:ascii="Times New Roman" w:hAnsi="Times New Roman" w:cs="Times New Roman"/>
          <w:sz w:val="24"/>
          <w:lang w:val="en-US"/>
        </w:rPr>
        <w:t xml:space="preserve"> yang masih mengalami miskonsepsi. Hal ini menunjukkan adanya ketidaksingkronan antara proses pembuktian yang dilakukan dengan ketepatan pemaknaan konsep. Pendefinisian subset yang mengacu pada anggota himpunan merupakan bukti bahwa adanya ketidak akuratan konsep subset yang dimaknai oleh mahasiswa. Selain itu adanya ketidak sesuaian penafsiran makna simbol himpunan kosong juga merupakan salah satu ciri dari terjadinya miskonsepsi. Sejalan dengan </w:t>
      </w:r>
      <w:r w:rsidR="00DB3771">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{"citationItems":[{"id":"ITEM-1","itemData":{"DOI":"10.4236/jilsa.2013.52008","ISSN":"2150-8402","abstract":"The study analyzed students’ misconception based on rough set theory and combined with interpretive structural model (ISM) to compare students’ degree of two classes. The study then has provided an effective diagnostic assessment tool for teachers. The participants were 30 fourth grade students in Central Taiwan, and the exam tools were produced by teachers for math exams. The study has proposed three methods to get common misconception of the students in class. These methods are “Deleting conditional attributes”, “Using Boolean logic to calculate discernable matrix”, and “Calculating significance of conditional attributes.” The results showed that students of Class A had common misconceptions but students of Class B had not common misconception. In addition, the remedial decision-making for these two classes of students is pointed out. While remedial decision-making of two classes corresponded to structural graph of concepts, it can be found the overall performance of the Class B was higher than Class A.","author":[{"dropping-particle":"","family":"Sheu","given":"Tian-Wei","non-dropping-particle":"","parse-names":false,"suffix":""},{"dropping-particle":"","family":"Chen","given":"Tzu-Liang","non-dropping-particle":"","parse-names":false,"suffix":""},{"dropping-particle":"","family":"Tsai","given":"Ching-Pin","non-dropping-particle":"","parse-names":false,"suffix":""},{"dropping-particle":"","family":"Tzeng","given":"Jian-Wei","non-dropping-particle":"","parse-names":false,"suffix":""},{"dropping-particle":"","family":"Deng","given":"Cing-Ping","non-dropping-particle":"","parse-names":false,"suffix":""},{"dropping-particle":"","family":"Nagai","given":"Masatake","non-dropping-particle":"","parse-names":false,"suffix":""}],"container-title":"Journal of Intelligent Learning Systems and Applications","id":"ITEM-1","issue":"02","issued":{"date-parts":[["2013"]]},"page":"67-83","publisher":"Scientific Research Publishing, Inc,","title":"Analysis of Students’ Misconception Based on Rough Set Theory","type":"article-journal","volume":"05"},"uris":["http://www.mendeley.com/documents/?uuid=f136257d-4b44-3074-8b4d-0bc67e79ffc8"]}],"mendeley":{"formattedCitation":"(Sheu et al., 2013)","plainTextFormattedCitation":"(Sheu et al., 2013)"},"properties":{"noteIndex":0},"schema":"https://github.com/citation-style-language/schema/raw/master/csl-citation.json"}</w:instrText>
      </w:r>
      <w:r w:rsidR="00DB3771">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(Sheu et al., 2013)</w:t>
      </w:r>
      <w:r w:rsidR="00DB3771">
        <w:rPr>
          <w:rFonts w:ascii="Times New Roman" w:hAnsi="Times New Roman" w:cs="Times New Roman"/>
          <w:sz w:val="24"/>
          <w:lang w:val="en-US"/>
        </w:rPr>
        <w:fldChar w:fldCharType="end"/>
      </w:r>
      <w:r w:rsidRPr="003D1603">
        <w:rPr>
          <w:rFonts w:ascii="Times New Roman" w:hAnsi="Times New Roman" w:cs="Times New Roman"/>
          <w:sz w:val="24"/>
          <w:lang w:val="en-US"/>
        </w:rPr>
        <w:t xml:space="preserve"> yang menyatakan bahwa adanya perbedaan mendasar antara struktur sistematik dan struktur pengetahuan adalah indikasi terjadinya miskonsepsi.</w:t>
      </w:r>
    </w:p>
    <w:p w14:paraId="14AA13C8" w14:textId="3556029B" w:rsidR="005014B9" w:rsidRDefault="0092351A" w:rsidP="0092351A">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Diawal pengerjaannya, s</w:t>
      </w:r>
      <w:r w:rsidR="003D1603" w:rsidRPr="003D1603">
        <w:rPr>
          <w:rFonts w:ascii="Times New Roman" w:hAnsi="Times New Roman" w:cs="Times New Roman"/>
          <w:sz w:val="24"/>
          <w:lang w:val="en-US"/>
        </w:rPr>
        <w:t xml:space="preserve">ubjek </w:t>
      </w:r>
      <w:r w:rsidR="004C7C87">
        <w:rPr>
          <w:rFonts w:ascii="Times New Roman" w:hAnsi="Times New Roman" w:cs="Times New Roman"/>
          <w:i/>
          <w:sz w:val="24"/>
          <w:lang w:val="en-US"/>
        </w:rPr>
        <w:t xml:space="preserve">invalid general argument </w:t>
      </w:r>
      <w:r w:rsidR="004C7C87">
        <w:rPr>
          <w:rFonts w:ascii="Times New Roman" w:hAnsi="Times New Roman" w:cs="Times New Roman"/>
          <w:sz w:val="24"/>
          <w:lang w:val="en-US"/>
        </w:rPr>
        <w:t xml:space="preserve">menggunakan pemisalan untuk membantu dalam menentukan nilai kebenaran suatu pernyataan. </w:t>
      </w:r>
      <w:r w:rsidR="003D1603" w:rsidRPr="003D1603">
        <w:rPr>
          <w:rFonts w:ascii="Times New Roman" w:hAnsi="Times New Roman" w:cs="Times New Roman"/>
          <w:sz w:val="24"/>
          <w:lang w:val="en-US"/>
        </w:rPr>
        <w:t xml:space="preserve"> </w:t>
      </w:r>
      <w:r w:rsidR="00F436A5">
        <w:rPr>
          <w:rFonts w:ascii="Times New Roman" w:hAnsi="Times New Roman" w:cs="Times New Roman"/>
          <w:sz w:val="24"/>
          <w:lang w:val="en-US"/>
        </w:rPr>
        <w:t xml:space="preserve">    </w:t>
      </w:r>
      <w:r w:rsidR="00F436A5">
        <w:rPr>
          <w:rFonts w:ascii="Times New Roman" w:hAnsi="Times New Roman" w:cs="Times New Roman"/>
          <w:sz w:val="24"/>
          <w:lang w:val="en-US"/>
        </w:rPr>
        <w:fldChar w:fldCharType="begin" w:fldLock="1"/>
      </w:r>
      <w:r w:rsidR="00F436A5">
        <w:rPr>
          <w:rFonts w:ascii="Times New Roman" w:hAnsi="Times New Roman" w:cs="Times New Roman"/>
          <w:sz w:val="24"/>
          <w:lang w:val="en-US"/>
        </w:rPr>
        <w:instrText>ADDIN CSL_CITATION {"citationItems":[{"id":"ITEM-1","itemData":{"DOI":"10.21914/anziamj.v61i0.15052","ISSN":"1445-8810","abstract":"The primary purpose of this study is to investigate students' perceptions about the characteristics of creativity and engagement in solving non-routine problems. It involved 64 science, technology, engineering, and mathematics (STEM) university students, who participated in a two-year research project in New Zealand during which participants were given opportunities to utilise puzzle-based learning in their courses. Comparing open-ended responses of two surveys, this article focuses on student perceptions about attributes of creativity in non-routine problem-solving. These results have pedagogical implications for tertiary stem education. References A. J. Baroody and A. Dowker. The development of arithmetic concepts and skills: Constructive adaptive expertise. Routledge, 2013. URL https://www.routledge.com/The-Development-of-Arithmetic-Concepts-and-Skills-Constructive-Adaptive/Baroody-Dowker/p/book/9780805831566. S. A. Costa. Puzzle-based learning: An approach to creativity, design thinking and problem solving. implications for engineering education. Proceedings of the Canadian Engineering Education Association (CEEA), 2017. doi:10.24908/pceea.v0i0.7365. N. Falkner, R. Sooriamurthi, and Z. Michalewicz. Teaching puzzle-based learning: Development of transferable skills. Teach. Math. Comput. Sci., 10(2):245–268, 2012. doi:10.5485/TMCS.2012.0304. A. Fisher. Critical thinking: An introduction. Cambridge University Press, 2011. URL https://www.cambridge.org/us/education/subject/humanities/critical-thinking/critical-thinking-2nd-edition/critical-thinking-introduction-2nd-edition-paperback?isbn=9781107401983. E. C. Fortes and R. R. Andrade. Mathematical creativity in solving non-routine problems. The Normal Lights, 13(1), 2019. URL http://po.pnuresearchportal.org/ejournal/index.php/normallights/article/view/1237. P. Gnadig, G. Honyek, and K. F. Riley. 200 puzzling physics problems: With hints and solutions. Cambridge University Press, 2001. URL https://www.cambridge.org/us/academic/subjects/physics/general-and-classical-physics/200-puzzling-physics-problems-hints-and-solutions?format=AR&amp;isbn=9780521774802. J. P. Guilford. Creativity: Yesterday, today and tomorrow. J. Creative Behav., 1(1):3–14, 1967. doi:10.1002/j.2162-6057.1967.tb00002.x. J. P. Guilford. Characteristics of Creativity. Illinois State Office of the Superintendent of Public Instruction, Springfield. Gifted Children Section, 1973. URL https://eric.ed.gov/?id=ED080171. G. Hatano and Y. Oura. Comme…","author":[{"dropping-particle":"","family":"Murphy","given":"Priscilla Eng Lian","non-dropping-particle":"","parse-names":false,"suffix":""},{"dropping-particle":"","family":"Evans","given":"Tanya","non-dropping-particle":"","parse-names":false,"suffix":""},{"dropping-particle":"","family":"Klymchuk","given":"Sergiy","non-dropping-particle":"","parse-names":false,"suffix":""},{"dropping-particle":"","family":"Novak","given":"Julia","non-dropping-particle":"","parse-names":false,"suffix":""},{"dropping-particle":"","family":"Stephens","given":"Jason","non-dropping-particle":"","parse-names":false,"suffix":""},{"dropping-particle":"","family":"Thomas","given":"Michael","non-dropping-particle":"","parse-names":false,"suffix":""}],"container-title":"ANZIAM Journal","id":"ITEM-1","issued":{"date-parts":[["2020","7","27"]]},"page":"C152-C165","publisher":"Australian Mathematical Publishing Association, Inc.","title":"University STEM students' perceptions of creativity in non-routine problem-solving","type":"article-journal","volume":"61"},"uris":["http://www.mendeley.com/documents/?uuid=3e4b3116-bfeb-3b8c-a0b3-5130fc57ead3"]}],"mendeley":{"formattedCitation":"(Murphy et al., 2020)","plainTextFormattedCitation":"(Murphy et al., 2020)","previouslyFormattedCitation":"(Murphy et al., 2020)"},"properties":{"noteIndex":0},"schema":"https://github.com/citation-style-language/schema/raw/master/csl-citation.json"}</w:instrText>
      </w:r>
      <w:r w:rsidR="00F436A5">
        <w:rPr>
          <w:rFonts w:ascii="Times New Roman" w:hAnsi="Times New Roman" w:cs="Times New Roman"/>
          <w:sz w:val="24"/>
          <w:lang w:val="en-US"/>
        </w:rPr>
        <w:fldChar w:fldCharType="separate"/>
      </w:r>
      <w:r w:rsidR="00F436A5" w:rsidRPr="00F436A5">
        <w:rPr>
          <w:rFonts w:ascii="Times New Roman" w:hAnsi="Times New Roman" w:cs="Times New Roman"/>
          <w:noProof/>
          <w:sz w:val="24"/>
          <w:lang w:val="en-US"/>
        </w:rPr>
        <w:t>(Murphy et al., 2020)</w:t>
      </w:r>
      <w:r w:rsidR="00F436A5">
        <w:rPr>
          <w:rFonts w:ascii="Times New Roman" w:hAnsi="Times New Roman" w:cs="Times New Roman"/>
          <w:sz w:val="24"/>
          <w:lang w:val="en-US"/>
        </w:rPr>
        <w:fldChar w:fldCharType="end"/>
      </w:r>
      <w:r w:rsidR="00F436A5">
        <w:rPr>
          <w:rFonts w:ascii="Times New Roman" w:hAnsi="Times New Roman" w:cs="Times New Roman"/>
          <w:sz w:val="24"/>
          <w:lang w:val="en-US"/>
        </w:rPr>
        <w:t xml:space="preserve"> menyatakan bahwa  salah satu teknik identifikasi masalah matematika adalah dengan pemisalan variabel.  Meskipun pemisalan ini dapat membantu, tetapi pemisalan harus tepat. Berdasarkan hasil wawancara, pemisalan yang dilakukan subjek</w:t>
      </w:r>
      <w:r w:rsidR="005014B9">
        <w:rPr>
          <w:rFonts w:ascii="Times New Roman" w:hAnsi="Times New Roman" w:cs="Times New Roman"/>
          <w:sz w:val="24"/>
          <w:lang w:val="en-US"/>
        </w:rPr>
        <w:t xml:space="preserve"> tidak</w:t>
      </w:r>
      <w:r w:rsidR="00F436A5">
        <w:rPr>
          <w:rFonts w:ascii="Times New Roman" w:hAnsi="Times New Roman" w:cs="Times New Roman"/>
          <w:sz w:val="24"/>
          <w:lang w:val="en-US"/>
        </w:rPr>
        <w:t xml:space="preserve"> tepat. Ketidaktepatan ini </w:t>
      </w:r>
      <w:proofErr w:type="gramStart"/>
      <w:r w:rsidR="00F436A5">
        <w:rPr>
          <w:rFonts w:ascii="Times New Roman" w:hAnsi="Times New Roman" w:cs="Times New Roman"/>
          <w:sz w:val="24"/>
          <w:lang w:val="en-US"/>
        </w:rPr>
        <w:t>mengindikasikan  bahwa</w:t>
      </w:r>
      <w:proofErr w:type="gramEnd"/>
      <w:r w:rsidR="00F436A5">
        <w:rPr>
          <w:rFonts w:ascii="Times New Roman" w:hAnsi="Times New Roman" w:cs="Times New Roman"/>
          <w:sz w:val="24"/>
          <w:lang w:val="en-US"/>
        </w:rPr>
        <w:t xml:space="preserve"> mahasiswa belum akurat dalam memaknai konsep </w:t>
      </w:r>
      <w:r w:rsidR="005014B9">
        <w:rPr>
          <w:rFonts w:ascii="Times New Roman" w:hAnsi="Times New Roman" w:cs="Times New Roman"/>
          <w:sz w:val="24"/>
          <w:lang w:val="en-US"/>
        </w:rPr>
        <w:t xml:space="preserve">anggota himpunan dan subset dimana keduanya memiliki perbedaan acuan. </w:t>
      </w:r>
    </w:p>
    <w:p w14:paraId="3FAEB665" w14:textId="340C6273" w:rsidR="005014B9" w:rsidRDefault="005014B9" w:rsidP="0092351A">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Miskonsepsi </w:t>
      </w:r>
      <w:r w:rsidR="007E4D9A">
        <w:rPr>
          <w:rFonts w:ascii="Times New Roman" w:hAnsi="Times New Roman" w:cs="Times New Roman"/>
          <w:sz w:val="24"/>
          <w:lang w:val="en-US"/>
        </w:rPr>
        <w:t xml:space="preserve">pada konsep himpunan, himpunan kosong, anggota himpunan, dan subset yang terjadi pada subjek </w:t>
      </w:r>
      <w:r w:rsidR="007E4D9A" w:rsidRPr="007E4D9A">
        <w:rPr>
          <w:rFonts w:ascii="Times New Roman" w:hAnsi="Times New Roman" w:cs="Times New Roman"/>
          <w:i/>
          <w:sz w:val="24"/>
          <w:lang w:val="en-US"/>
        </w:rPr>
        <w:t>empirical argument</w:t>
      </w:r>
      <w:r w:rsidR="007E4D9A">
        <w:rPr>
          <w:rFonts w:ascii="Times New Roman" w:hAnsi="Times New Roman" w:cs="Times New Roman"/>
          <w:sz w:val="24"/>
          <w:lang w:val="en-US"/>
        </w:rPr>
        <w:t xml:space="preserve"> berhubungan dengan pemaknaan simbol yang kurang tepat. Pemaknaan simbol yang k</w:t>
      </w:r>
      <w:r w:rsidR="00403A31">
        <w:rPr>
          <w:rFonts w:ascii="Times New Roman" w:hAnsi="Times New Roman" w:cs="Times New Roman"/>
          <w:sz w:val="24"/>
          <w:lang w:val="en-US"/>
        </w:rPr>
        <w:t xml:space="preserve">urang tepat ini dapat mengakibatkan ketidaksesuaian menghubungkan dalam koneksikan </w:t>
      </w:r>
      <w:r w:rsidR="00403A31">
        <w:rPr>
          <w:rFonts w:ascii="Times New Roman" w:hAnsi="Times New Roman" w:cs="Times New Roman"/>
          <w:sz w:val="24"/>
          <w:lang w:val="en-US"/>
        </w:rPr>
        <w:lastRenderedPageBreak/>
        <w:t xml:space="preserve">suatu konsep dengan konsep lain </w:t>
      </w:r>
      <w:r w:rsidR="00403A31">
        <w:rPr>
          <w:rFonts w:ascii="Times New Roman" w:hAnsi="Times New Roman" w:cs="Times New Roman"/>
          <w:sz w:val="24"/>
          <w:lang w:val="en-US"/>
        </w:rPr>
        <w:fldChar w:fldCharType="begin" w:fldLock="1"/>
      </w:r>
      <w:r w:rsidR="00403A31">
        <w:rPr>
          <w:rFonts w:ascii="Times New Roman" w:hAnsi="Times New Roman" w:cs="Times New Roman"/>
          <w:sz w:val="24"/>
          <w:lang w:val="en-US"/>
        </w:rPr>
        <w:instrText>ADDIN CSL_CITATION {"citationItems":[{"id":"ITEM-1","itemData":{"DOI":"10.1111/cogs.12711","ISSN":"15516709","PMID":"30648799","abstract":"A growing body of research has shown that symbolic number processing relates to individual differences in mathematics. However, it remains unclear which mechanisms of symbolic number processing are crucial—accessing underlying magnitude representation of symbols (i.e., symbol-magnitude associations), processing relative order of symbols (i.e., symbol-symbol associations), or processing of symbols per se. To address this question, in this study adult participants performed a dots-number word matching task—thought to be a measure of symbol-magnitude associations (numerical magnitude processing)—a numeral-ordering task that focuses on symbol-symbol associations (numerical order processing), and a digit-number word matching task targeting symbolic processing per se. Results showed that both numerical magnitude and order processing were uniquely related to arithmetic achievement, beyond the effects of domain-general factors (intellectual ability, working memory, inhibitory control, and non-numerical ordering). Importantly, results were different when a general measure of mathematics achievement was considered. Those mechanisms of symbolic number processing did not contribute to math achievement. Furthermore, a path analysis revealed that numerical magnitude and order processing might draw on a common mechanism. Each process explained a portion of the relation of the other with arithmetic (but not with a general measure of math achievement). These findings are consistent with the notion that adults’ arithmetic skills build upon symbol-magnitude associations, and they highlight the effects that different math measures have in the study of numerical cognition.","author":[{"dropping-particle":"","family":"Orrantia","given":"Josetxu","non-dropping-particle":"","parse-names":false,"suffix":""},{"dropping-particle":"","family":"Muñez","given":"David","non-dropping-particle":"","parse-names":false,"suffix":""},{"dropping-particle":"","family":"Matilla","given":"Laura","non-dropping-particle":"","parse-names":false,"suffix":""},{"dropping-particle":"","family":"Sanchez","given":"Rosario","non-dropping-particle":"","parse-names":false,"suffix":""},{"dropping-particle":"","family":"San Romualdo","given":"Sara","non-dropping-particle":"","parse-names":false,"suffix":""},{"dropping-particle":"","family":"Verschaffel","given":"Lieven","non-dropping-particle":"","parse-names":false,"suffix":""}],"container-title":"Cognitive Science","id":"ITEM-1","issue":"1","issued":{"date-parts":[["2019","1","1"]]},"publisher":"Wiley-Blackwell Publishing","title":"Disentangling the Mechanisms of Symbolic Number Processing in Adults’ Mathematics and Arithmetic Achievement","type":"article-journal","volume":"43"},"uris":["http://www.mendeley.com/documents/?uuid=f2611ad9-35f5-31b0-86e2-4ccf05fb85f2"]}],"mendeley":{"formattedCitation":"(Orrantia et al., 2019)","plainTextFormattedCitation":"(Orrantia et al., 2019)","previouslyFormattedCitation":"(Orrantia et al., 2019)"},"properties":{"noteIndex":0},"schema":"https://github.com/citation-style-language/schema/raw/master/csl-citation.json"}</w:instrText>
      </w:r>
      <w:r w:rsidR="00403A31">
        <w:rPr>
          <w:rFonts w:ascii="Times New Roman" w:hAnsi="Times New Roman" w:cs="Times New Roman"/>
          <w:sz w:val="24"/>
          <w:lang w:val="en-US"/>
        </w:rPr>
        <w:fldChar w:fldCharType="separate"/>
      </w:r>
      <w:r w:rsidR="00403A31" w:rsidRPr="00403A31">
        <w:rPr>
          <w:rFonts w:ascii="Times New Roman" w:hAnsi="Times New Roman" w:cs="Times New Roman"/>
          <w:noProof/>
          <w:sz w:val="24"/>
          <w:lang w:val="en-US"/>
        </w:rPr>
        <w:t>(Orrantia et al., 2019)</w:t>
      </w:r>
      <w:r w:rsidR="00403A31">
        <w:rPr>
          <w:rFonts w:ascii="Times New Roman" w:hAnsi="Times New Roman" w:cs="Times New Roman"/>
          <w:sz w:val="24"/>
          <w:lang w:val="en-US"/>
        </w:rPr>
        <w:fldChar w:fldCharType="end"/>
      </w:r>
      <w:r w:rsidR="00403A31">
        <w:rPr>
          <w:rFonts w:ascii="Times New Roman" w:hAnsi="Times New Roman" w:cs="Times New Roman"/>
          <w:sz w:val="24"/>
          <w:lang w:val="en-US"/>
        </w:rPr>
        <w:t xml:space="preserve">. Dalam kasus ini </w:t>
      </w:r>
      <w:r w:rsidR="00E64279">
        <w:rPr>
          <w:rFonts w:ascii="Times New Roman" w:hAnsi="Times New Roman" w:cs="Times New Roman"/>
          <w:sz w:val="24"/>
          <w:lang w:val="en-US"/>
        </w:rPr>
        <w:t>subjek kebingungan dalam menghubungkan konsep himpunan dan himpunan kosong.</w:t>
      </w:r>
    </w:p>
    <w:p w14:paraId="30C8B493" w14:textId="3DFC6352" w:rsidR="00396E18" w:rsidRDefault="001D0516" w:rsidP="00396E18">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ab/>
      </w:r>
      <w:r w:rsidR="00B406A3">
        <w:rPr>
          <w:rFonts w:ascii="Times New Roman" w:hAnsi="Times New Roman" w:cs="Times New Roman"/>
          <w:sz w:val="24"/>
          <w:lang w:val="en-US"/>
        </w:rPr>
        <w:t>Dilihat dari proses mengkonstruksi bukti, s</w:t>
      </w:r>
      <w:r>
        <w:rPr>
          <w:rFonts w:ascii="Times New Roman" w:hAnsi="Times New Roman" w:cs="Times New Roman"/>
          <w:sz w:val="24"/>
          <w:lang w:val="en-US"/>
        </w:rPr>
        <w:t xml:space="preserve">ubjek dengan kriteria </w:t>
      </w:r>
      <w:r>
        <w:rPr>
          <w:rFonts w:ascii="Times New Roman" w:hAnsi="Times New Roman" w:cs="Times New Roman"/>
          <w:i/>
          <w:sz w:val="24"/>
          <w:lang w:val="en-US"/>
        </w:rPr>
        <w:t>non genuine</w:t>
      </w:r>
      <w:r w:rsidR="00B406A3">
        <w:rPr>
          <w:rFonts w:ascii="Times New Roman" w:hAnsi="Times New Roman" w:cs="Times New Roman"/>
          <w:i/>
          <w:sz w:val="24"/>
          <w:lang w:val="en-US"/>
        </w:rPr>
        <w:t xml:space="preserve"> argument</w:t>
      </w:r>
      <w:r>
        <w:rPr>
          <w:rFonts w:ascii="Times New Roman" w:hAnsi="Times New Roman" w:cs="Times New Roman"/>
          <w:i/>
          <w:sz w:val="24"/>
          <w:lang w:val="en-US"/>
        </w:rPr>
        <w:t xml:space="preserve"> </w:t>
      </w:r>
      <w:r w:rsidR="00B406A3">
        <w:rPr>
          <w:rFonts w:ascii="Times New Roman" w:hAnsi="Times New Roman" w:cs="Times New Roman"/>
          <w:sz w:val="24"/>
          <w:lang w:val="en-US"/>
        </w:rPr>
        <w:t xml:space="preserve">merupakan subjek yang tidak dapat memberikan bukti baik secara empiris maupun teoritis. Peluang terjadinya miskonsepsi pada subjek berkategori </w:t>
      </w:r>
      <w:r w:rsidR="00B406A3">
        <w:rPr>
          <w:rFonts w:ascii="Times New Roman" w:hAnsi="Times New Roman" w:cs="Times New Roman"/>
          <w:i/>
          <w:sz w:val="24"/>
          <w:lang w:val="en-US"/>
        </w:rPr>
        <w:t xml:space="preserve">non genuine argument </w:t>
      </w:r>
      <w:r w:rsidR="00B406A3">
        <w:rPr>
          <w:rFonts w:ascii="Times New Roman" w:hAnsi="Times New Roman" w:cs="Times New Roman"/>
          <w:sz w:val="24"/>
          <w:lang w:val="en-US"/>
        </w:rPr>
        <w:t xml:space="preserve">ini </w:t>
      </w:r>
      <w:r w:rsidR="00133102">
        <w:rPr>
          <w:rFonts w:ascii="Times New Roman" w:hAnsi="Times New Roman" w:cs="Times New Roman"/>
          <w:sz w:val="24"/>
          <w:lang w:val="en-US"/>
        </w:rPr>
        <w:t xml:space="preserve">lebih besar dibandingkan dengan kriteria yang lain.  </w:t>
      </w:r>
      <w:r w:rsidR="00D7284B">
        <w:rPr>
          <w:rFonts w:ascii="Times New Roman" w:hAnsi="Times New Roman" w:cs="Times New Roman"/>
          <w:sz w:val="24"/>
          <w:lang w:val="en-US"/>
        </w:rPr>
        <w:fldChar w:fldCharType="begin" w:fldLock="1"/>
      </w:r>
      <w:r w:rsidR="00DB3771">
        <w:rPr>
          <w:rFonts w:ascii="Times New Roman" w:hAnsi="Times New Roman" w:cs="Times New Roman"/>
          <w:sz w:val="24"/>
          <w:lang w:val="en-US"/>
        </w:rPr>
        <w:instrText>ADDIN CSL_CITATION {"citationItems":[{"id":"ITEM-1","itemData":{"DOI":"10.1590/1980-4415v31n57a21","ISSN":"1980-4415","abstract":"Proof is an activity that plays a key role in the construction of mathematical knowledge, which is why it acquires relevance in mathematics programs. Admitting that teachers' conceptions about proof influence how it is handled in the classroom, we tried to investigate the conceptions of Portuguese mathematics teachers from the 3rd cycle of basic education (grade 7 to 9) on different aspects of mathematical proof and the relationship that the teachers' experience has in these conceptions. Adopting a mixed methodological approach, we collected data through a questionnaire answered by 72 teachers, and an interview with two teachers with different professional experience. The results show that teachers, especially those with less experience, consider that mathematical proof has a distinct nature from other disciplines, it is an essential activity for the construction of mathematical knowledge and its function is to verify and explain the truth of a statement by developing reasoning and mathematical communication. With respect to student participation in the activity of proving, teachers with more teaching experience are the ones that most highlight it, which allows students to realize the nature of this activity. In curriculum terms, teachers with less experience are the ones that most agree with the presence of proof in early grades, while emphasizing that this activity only makes sense in some program topics.","author":[{"dropping-particle":"","family":"Viseu","given":"Floriano","non-dropping-particle":"","parse-names":false,"suffix":""},{"dropping-particle":"","family":"Menezes","given":"Luís","non-dropping-particle":"","parse-names":false,"suffix":""},{"dropping-particle":"","family":"Fernandes","given":"José António","non-dropping-particle":"","parse-names":false,"suffix":""},{"dropping-particle":"","family":"Gomes","given":"Alexandra","non-dropping-particle":"","parse-names":false,"suffix":""},{"dropping-particle":"","family":"Martins","given":"Paula Mendes","non-dropping-particle":"","parse-names":false,"suffix":""}],"container-title":"Bolema - Mathematics Education Bulletin","id":"ITEM-1","issue":"57","issued":{"date-parts":[["2017"]]},"page":"430-453","title":"Conceptions of basic education teachers about math proof: Influence of professional experience","type":"article-journal","volume":"31"},"uris":["http://www.mendeley.com/documents/?uuid=9e4c47c1-5371-312b-abef-206f167a7ede"]}],"mendeley":{"formattedCitation":"(Viseu et al., 2017)","plainTextFormattedCitation":"(Viseu et al., 2017)","previouslyFormattedCitation":"(Viseu et al., 2017)"},"properties":{"noteIndex":0},"schema":"https://github.com/citation-style-language/schema/raw/master/csl-citation.json"}</w:instrText>
      </w:r>
      <w:r w:rsidR="00D7284B">
        <w:rPr>
          <w:rFonts w:ascii="Times New Roman" w:hAnsi="Times New Roman" w:cs="Times New Roman"/>
          <w:sz w:val="24"/>
          <w:lang w:val="en-US"/>
        </w:rPr>
        <w:fldChar w:fldCharType="separate"/>
      </w:r>
      <w:r w:rsidR="00DB3771" w:rsidRPr="00DB3771">
        <w:rPr>
          <w:rFonts w:ascii="Times New Roman" w:hAnsi="Times New Roman" w:cs="Times New Roman"/>
          <w:noProof/>
          <w:sz w:val="24"/>
          <w:lang w:val="en-US"/>
        </w:rPr>
        <w:t>(Viseu et al., 2017)</w:t>
      </w:r>
      <w:r w:rsidR="00D7284B">
        <w:rPr>
          <w:rFonts w:ascii="Times New Roman" w:hAnsi="Times New Roman" w:cs="Times New Roman"/>
          <w:sz w:val="24"/>
          <w:lang w:val="en-US"/>
        </w:rPr>
        <w:fldChar w:fldCharType="end"/>
      </w:r>
      <w:r w:rsidR="00D7284B">
        <w:rPr>
          <w:rFonts w:ascii="Times New Roman" w:hAnsi="Times New Roman" w:cs="Times New Roman"/>
          <w:sz w:val="24"/>
          <w:lang w:val="en-US"/>
        </w:rPr>
        <w:t xml:space="preserve"> menyatakan bahwa kemampuan mengkonstruksi bukti memegang peranan penting dalam membangun pengetahuan matematika terutama dalam penyelesaian masalah prosedural. </w:t>
      </w:r>
      <w:r w:rsidR="00396E18">
        <w:rPr>
          <w:rFonts w:ascii="Times New Roman" w:hAnsi="Times New Roman" w:cs="Times New Roman"/>
          <w:sz w:val="24"/>
          <w:lang w:val="en-US"/>
        </w:rPr>
        <w:t>Pemisalan yang dilaku</w:t>
      </w:r>
      <w:r w:rsidR="00D7284B">
        <w:rPr>
          <w:rFonts w:ascii="Times New Roman" w:hAnsi="Times New Roman" w:cs="Times New Roman"/>
          <w:sz w:val="24"/>
          <w:lang w:val="en-US"/>
        </w:rPr>
        <w:t>k</w:t>
      </w:r>
      <w:r w:rsidR="00396E18">
        <w:rPr>
          <w:rFonts w:ascii="Times New Roman" w:hAnsi="Times New Roman" w:cs="Times New Roman"/>
          <w:sz w:val="24"/>
          <w:lang w:val="en-US"/>
        </w:rPr>
        <w:t>a</w:t>
      </w:r>
      <w:r w:rsidR="00D7284B">
        <w:rPr>
          <w:rFonts w:ascii="Times New Roman" w:hAnsi="Times New Roman" w:cs="Times New Roman"/>
          <w:sz w:val="24"/>
          <w:lang w:val="en-US"/>
        </w:rPr>
        <w:t xml:space="preserve">n oleh subjek </w:t>
      </w:r>
      <w:r w:rsidR="00D7284B">
        <w:rPr>
          <w:rFonts w:ascii="Times New Roman" w:hAnsi="Times New Roman" w:cs="Times New Roman"/>
          <w:i/>
          <w:sz w:val="24"/>
          <w:lang w:val="en-US"/>
        </w:rPr>
        <w:t>non genuine argument</w:t>
      </w:r>
      <w:r w:rsidR="00D7284B">
        <w:rPr>
          <w:rFonts w:ascii="Times New Roman" w:hAnsi="Times New Roman" w:cs="Times New Roman"/>
          <w:sz w:val="24"/>
          <w:lang w:val="en-US"/>
        </w:rPr>
        <w:t xml:space="preserve"> sudah tepat. Tetapi karena subjek mengalami ketidak tepatan dalam menafsirkan konsep anggota himpuna</w:t>
      </w:r>
      <w:r w:rsidR="00396E18">
        <w:rPr>
          <w:rFonts w:ascii="Times New Roman" w:hAnsi="Times New Roman" w:cs="Times New Roman"/>
          <w:sz w:val="24"/>
          <w:lang w:val="en-US"/>
        </w:rPr>
        <w:t xml:space="preserve">n serta tidak dapat menghubungkan konsep negasi implikasi pada suatu definisi, maka subjek tersebut mengalami miskonsepsi. </w:t>
      </w:r>
    </w:p>
    <w:p w14:paraId="1D16EB7E" w14:textId="0DE3F2FD" w:rsidR="00396E18" w:rsidRPr="00D7284B" w:rsidRDefault="00396E18" w:rsidP="00396E18">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Secara umum miskonsepsi terjadi pada semua kriteria dalam mengkonstruksi bukti. Miskonsepsi yang terjadi merupakan akibat dari ketidakakuratan konsep, penggunaan konsep yang salah, pemaknaan konsep yang tidak sesuai dengan makna sebenarnya, dan tidak dapat menghubungkan antar suatu konsep dengan konsep lainnya. </w:t>
      </w:r>
    </w:p>
    <w:p w14:paraId="4B337FA5" w14:textId="77777777" w:rsidR="00133102" w:rsidRDefault="00133102" w:rsidP="00133102">
      <w:pPr>
        <w:pStyle w:val="ListParagraph1"/>
        <w:spacing w:line="288" w:lineRule="auto"/>
        <w:ind w:left="0"/>
        <w:rPr>
          <w:b/>
          <w:szCs w:val="22"/>
        </w:rPr>
      </w:pPr>
    </w:p>
    <w:p w14:paraId="7D09E69E" w14:textId="1805E57F" w:rsidR="0050781C" w:rsidRDefault="00133102" w:rsidP="00133102">
      <w:pPr>
        <w:pStyle w:val="ListParagraph1"/>
        <w:spacing w:line="288" w:lineRule="auto"/>
        <w:ind w:left="0"/>
        <w:rPr>
          <w:b/>
          <w:szCs w:val="22"/>
        </w:rPr>
      </w:pPr>
      <w:r>
        <w:rPr>
          <w:b/>
          <w:szCs w:val="22"/>
        </w:rPr>
        <w:t>KESIMPULAN DAN S</w:t>
      </w:r>
      <w:r w:rsidR="00396E18">
        <w:rPr>
          <w:b/>
          <w:szCs w:val="22"/>
        </w:rPr>
        <w:t>ARAN</w:t>
      </w:r>
    </w:p>
    <w:p w14:paraId="38FFF3CE" w14:textId="4845FC89" w:rsidR="00A46622" w:rsidRDefault="008A7350" w:rsidP="00A46622">
      <w:pPr>
        <w:pStyle w:val="ListParagraph1"/>
        <w:spacing w:line="288" w:lineRule="auto"/>
        <w:ind w:left="0" w:firstLine="720"/>
        <w:jc w:val="both"/>
      </w:pPr>
      <w:r>
        <w:rPr>
          <w:szCs w:val="22"/>
        </w:rPr>
        <w:t xml:space="preserve">Ditinjau dari kriteria dalam proses mengkonstruksi bukti, hasil penelitian </w:t>
      </w:r>
      <w:proofErr w:type="gramStart"/>
      <w:r>
        <w:rPr>
          <w:szCs w:val="22"/>
        </w:rPr>
        <w:t>menunjukkan  bahwa</w:t>
      </w:r>
      <w:proofErr w:type="gramEnd"/>
      <w:r>
        <w:rPr>
          <w:szCs w:val="22"/>
        </w:rPr>
        <w:t xml:space="preserve"> miskonsepsi te</w:t>
      </w:r>
      <w:r w:rsidR="002B76A4">
        <w:rPr>
          <w:szCs w:val="22"/>
        </w:rPr>
        <w:t xml:space="preserve">rjadi pada semua kriteria. </w:t>
      </w:r>
      <w:r>
        <w:rPr>
          <w:szCs w:val="22"/>
        </w:rPr>
        <w:t xml:space="preserve">Pada kriteria </w:t>
      </w:r>
      <w:r w:rsidR="002B76A4">
        <w:rPr>
          <w:i/>
          <w:szCs w:val="22"/>
        </w:rPr>
        <w:t>general argument</w:t>
      </w:r>
      <w:r w:rsidR="002B76A4">
        <w:rPr>
          <w:szCs w:val="22"/>
        </w:rPr>
        <w:t xml:space="preserve"> miskonsepsi yang tejadi adalah </w:t>
      </w:r>
      <w:r w:rsidR="002B76A4">
        <w:rPr>
          <w:szCs w:val="22"/>
        </w:rPr>
        <w:lastRenderedPageBreak/>
        <w:t>ketidaksesuaian p</w:t>
      </w:r>
      <w:r w:rsidR="002B76A4" w:rsidRPr="002B76A4">
        <w:rPr>
          <w:szCs w:val="22"/>
        </w:rPr>
        <w:t>enafsiran konsep himpunan kosong deng</w:t>
      </w:r>
      <w:r w:rsidR="002B76A4">
        <w:rPr>
          <w:szCs w:val="22"/>
        </w:rPr>
        <w:t xml:space="preserve">an makna konsep himpunan kosong yang sebenarnya serta ketidak akuratan konsep subset yang dipahami. Pada subjek </w:t>
      </w:r>
      <w:r w:rsidR="002B76A4">
        <w:rPr>
          <w:i/>
          <w:szCs w:val="22"/>
        </w:rPr>
        <w:t xml:space="preserve">invalid general argument </w:t>
      </w:r>
      <w:r w:rsidR="002B76A4">
        <w:rPr>
          <w:szCs w:val="22"/>
        </w:rPr>
        <w:t xml:space="preserve">mengalami miskonsepsi berupa ketidak akuratan dalam memahami konsep anggota himpunan dan subset. Miskonsepsi yang terjadi pada subjek </w:t>
      </w:r>
      <w:r w:rsidR="002B76A4">
        <w:rPr>
          <w:i/>
          <w:szCs w:val="22"/>
        </w:rPr>
        <w:t>empirical argument</w:t>
      </w:r>
      <w:r w:rsidR="002B76A4">
        <w:rPr>
          <w:szCs w:val="22"/>
        </w:rPr>
        <w:t xml:space="preserve"> adalah ketidak tepatan dalam menghubungkan konsep himpunan dan himpunan kosong, ketidaktepatan dalam mendiskripsikan makna simbol himpunan kosong, dan ketidak akuratan pada konsep subset. Sedangkan pada subjek </w:t>
      </w:r>
      <w:r w:rsidR="002B76A4">
        <w:rPr>
          <w:i/>
          <w:szCs w:val="22"/>
        </w:rPr>
        <w:t>non genuine argument</w:t>
      </w:r>
      <w:r w:rsidR="002B76A4">
        <w:rPr>
          <w:szCs w:val="22"/>
        </w:rPr>
        <w:t xml:space="preserve"> miskonsepsi berupa </w:t>
      </w:r>
      <w:r w:rsidR="00A46622">
        <w:t xml:space="preserve">ketidak tepatan dalam menafsirkan konsep anggota himpunan serta tidak dapat menghubungkan konsep negasi implikasi pada definisi subset, dan ketidak tepatan dalam memaknai simbol himpunan kosong. </w:t>
      </w:r>
    </w:p>
    <w:p w14:paraId="3FF5DD93" w14:textId="5293C9EC" w:rsidR="00A46622" w:rsidRDefault="00A46622" w:rsidP="00A46622">
      <w:pPr>
        <w:pStyle w:val="ListParagraph1"/>
        <w:spacing w:line="288" w:lineRule="auto"/>
        <w:ind w:left="0" w:firstLine="720"/>
        <w:jc w:val="both"/>
      </w:pPr>
      <w:r>
        <w:t xml:space="preserve">Saran dari peneliti adalah adanya penelitian lanjutan terkait penyebab </w:t>
      </w:r>
      <w:r w:rsidR="0024317E">
        <w:t xml:space="preserve">terjadinya miskonsepsi pada </w:t>
      </w:r>
      <w:r>
        <w:t xml:space="preserve">subjek dengan kriteria </w:t>
      </w:r>
      <w:r w:rsidR="0024317E">
        <w:rPr>
          <w:i/>
        </w:rPr>
        <w:t>general argument</w:t>
      </w:r>
      <w:r w:rsidR="0024317E">
        <w:t xml:space="preserve">. Mengingat bahwa subjek </w:t>
      </w:r>
      <w:proofErr w:type="gramStart"/>
      <w:r w:rsidR="0024317E">
        <w:t xml:space="preserve">dengan </w:t>
      </w:r>
      <w:r>
        <w:t xml:space="preserve"> </w:t>
      </w:r>
      <w:r w:rsidR="0024317E">
        <w:t>kriteria</w:t>
      </w:r>
      <w:proofErr w:type="gramEnd"/>
      <w:r w:rsidR="0024317E">
        <w:t xml:space="preserve"> </w:t>
      </w:r>
      <w:r w:rsidR="0024317E">
        <w:rPr>
          <w:i/>
        </w:rPr>
        <w:t>general argument</w:t>
      </w:r>
      <w:r w:rsidR="0024317E">
        <w:t xml:space="preserve"> merupakan subjek yang ditinjau dari proses pembuktiannya sudah valid tetapi masih mengalami miskonsepsi dalam menyelesaikan masalah prosedural.</w:t>
      </w:r>
    </w:p>
    <w:p w14:paraId="10F9270D" w14:textId="77777777" w:rsidR="0024317E" w:rsidRPr="0024317E" w:rsidRDefault="0024317E" w:rsidP="00A46622">
      <w:pPr>
        <w:pStyle w:val="ListParagraph1"/>
        <w:spacing w:line="288" w:lineRule="auto"/>
        <w:ind w:left="0" w:firstLine="720"/>
        <w:jc w:val="both"/>
      </w:pPr>
    </w:p>
    <w:p w14:paraId="67B7A34B" w14:textId="00731A95" w:rsidR="00DB3771" w:rsidRDefault="00DB3771" w:rsidP="00133102">
      <w:pPr>
        <w:pStyle w:val="ListParagraph1"/>
        <w:spacing w:line="288" w:lineRule="auto"/>
        <w:ind w:left="0"/>
        <w:rPr>
          <w:b/>
          <w:szCs w:val="22"/>
        </w:rPr>
      </w:pPr>
      <w:r>
        <w:rPr>
          <w:b/>
          <w:szCs w:val="22"/>
        </w:rPr>
        <w:t>DAFTAR PUSTAKA</w:t>
      </w:r>
    </w:p>
    <w:p w14:paraId="4D4F18AE" w14:textId="7E0DF7B9"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b/>
        </w:rPr>
        <w:fldChar w:fldCharType="begin" w:fldLock="1"/>
      </w:r>
      <w:r>
        <w:rPr>
          <w:b/>
        </w:rPr>
        <w:instrText xml:space="preserve">ADDIN Mendeley Bibliography CSL_BIBLIOGRAPHY </w:instrText>
      </w:r>
      <w:r>
        <w:rPr>
          <w:b/>
        </w:rPr>
        <w:fldChar w:fldCharType="separate"/>
      </w:r>
      <w:r w:rsidRPr="00DB3771">
        <w:rPr>
          <w:rFonts w:ascii="Times New Roman" w:hAnsi="Times New Roman" w:cs="Times New Roman"/>
          <w:noProof/>
          <w:sz w:val="24"/>
          <w:szCs w:val="24"/>
        </w:rPr>
        <w:t xml:space="preserve">Andriani, L. (2019). Analisis Kesalahan Mahasiswa Dalam Meyelesaikan Soal Himpunan di Program Studi </w:t>
      </w:r>
      <w:r w:rsidRPr="00DB3771">
        <w:rPr>
          <w:rFonts w:ascii="Times New Roman" w:hAnsi="Times New Roman" w:cs="Times New Roman"/>
          <w:noProof/>
          <w:sz w:val="24"/>
          <w:szCs w:val="24"/>
        </w:rPr>
        <w:lastRenderedPageBreak/>
        <w:t xml:space="preserve">Pendidikan Matematika UIN SUSKA RIAU. </w:t>
      </w:r>
      <w:r w:rsidRPr="00DB3771">
        <w:rPr>
          <w:rFonts w:ascii="Times New Roman" w:hAnsi="Times New Roman" w:cs="Times New Roman"/>
          <w:i/>
          <w:iCs/>
          <w:noProof/>
          <w:sz w:val="24"/>
          <w:szCs w:val="24"/>
        </w:rPr>
        <w:t>Jurnal Cendekia : Jurnal Pendidikan Matematika</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3</w:t>
      </w:r>
      <w:r w:rsidRPr="00DB3771">
        <w:rPr>
          <w:rFonts w:ascii="Times New Roman" w:hAnsi="Times New Roman" w:cs="Times New Roman"/>
          <w:noProof/>
          <w:sz w:val="24"/>
          <w:szCs w:val="24"/>
        </w:rPr>
        <w:t>(2), 550–562. https://doi.org/10.31004/cendekia.v3i2.146</w:t>
      </w:r>
    </w:p>
    <w:p w14:paraId="6E72AF16"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Arslan, H. O., Cigdemoglu, C., &amp; Moseley, C. (2012). A Three-Tier Diagnostic Test to Assess Pre-Service Teachers’ Misconceptions about Global Warming, Greenhouse Effect, Ozone Layer Depletion, and Acid Rain. </w:t>
      </w:r>
      <w:r w:rsidRPr="00DB3771">
        <w:rPr>
          <w:rFonts w:ascii="Times New Roman" w:hAnsi="Times New Roman" w:cs="Times New Roman"/>
          <w:i/>
          <w:iCs/>
          <w:noProof/>
          <w:sz w:val="24"/>
          <w:szCs w:val="24"/>
        </w:rPr>
        <w:t>International Journal of Science Education</w:t>
      </w:r>
      <w:r w:rsidRPr="00DB3771">
        <w:rPr>
          <w:rFonts w:ascii="Times New Roman" w:hAnsi="Times New Roman" w:cs="Times New Roman"/>
          <w:noProof/>
          <w:sz w:val="24"/>
          <w:szCs w:val="24"/>
        </w:rPr>
        <w:t>. https://doi.org/10.1080/09500693.2012.680618</w:t>
      </w:r>
    </w:p>
    <w:p w14:paraId="40B3E411"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Ay, Y. (2017). A Review of Research on the Misconceptions in Mathematics Education. </w:t>
      </w:r>
      <w:r w:rsidRPr="00DB3771">
        <w:rPr>
          <w:rFonts w:ascii="Times New Roman" w:hAnsi="Times New Roman" w:cs="Times New Roman"/>
          <w:i/>
          <w:iCs/>
          <w:noProof/>
          <w:sz w:val="24"/>
          <w:szCs w:val="24"/>
        </w:rPr>
        <w:t>Education Research Highlights in Mathematics</w:t>
      </w:r>
      <w:r w:rsidRPr="00DB3771">
        <w:rPr>
          <w:rFonts w:ascii="Times New Roman" w:hAnsi="Times New Roman" w:cs="Times New Roman"/>
          <w:noProof/>
          <w:sz w:val="24"/>
          <w:szCs w:val="24"/>
        </w:rPr>
        <w:t>, 21–31.</w:t>
      </w:r>
    </w:p>
    <w:p w14:paraId="50412A6E"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Cetner, M. (2016). Common Misconceptions in Mathematics: Strategies to Correct Them. In </w:t>
      </w:r>
      <w:r w:rsidRPr="00DB3771">
        <w:rPr>
          <w:rFonts w:ascii="Times New Roman" w:hAnsi="Times New Roman" w:cs="Times New Roman"/>
          <w:i/>
          <w:iCs/>
          <w:noProof/>
          <w:sz w:val="24"/>
          <w:szCs w:val="24"/>
        </w:rPr>
        <w:t>Mathematics Teaching in the Middle School</w:t>
      </w:r>
      <w:r w:rsidRPr="00DB3771">
        <w:rPr>
          <w:rFonts w:ascii="Times New Roman" w:hAnsi="Times New Roman" w:cs="Times New Roman"/>
          <w:noProof/>
          <w:sz w:val="24"/>
          <w:szCs w:val="24"/>
        </w:rPr>
        <w:t>.</w:t>
      </w:r>
    </w:p>
    <w:p w14:paraId="6F059806"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Goldin-Meadow, S. (2015). From action to abstraction: Gesture as a mechanism of change. </w:t>
      </w:r>
      <w:r w:rsidRPr="00DB3771">
        <w:rPr>
          <w:rFonts w:ascii="Times New Roman" w:hAnsi="Times New Roman" w:cs="Times New Roman"/>
          <w:i/>
          <w:iCs/>
          <w:noProof/>
          <w:sz w:val="24"/>
          <w:szCs w:val="24"/>
        </w:rPr>
        <w:t>Developmental Review</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38</w:t>
      </w:r>
      <w:r w:rsidRPr="00DB3771">
        <w:rPr>
          <w:rFonts w:ascii="Times New Roman" w:hAnsi="Times New Roman" w:cs="Times New Roman"/>
          <w:noProof/>
          <w:sz w:val="24"/>
          <w:szCs w:val="24"/>
        </w:rPr>
        <w:t>, 167–184. https://doi.org/10.1016/j.dr.2015.07.007</w:t>
      </w:r>
    </w:p>
    <w:p w14:paraId="44A604C2"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Hallett, D., Nunes, T., &amp; Bryant, P. (2010). Individual Differences in Conceptual and Procedural Knowledge When Learning Fractions. </w:t>
      </w:r>
      <w:r w:rsidRPr="00DB3771">
        <w:rPr>
          <w:rFonts w:ascii="Times New Roman" w:hAnsi="Times New Roman" w:cs="Times New Roman"/>
          <w:i/>
          <w:iCs/>
          <w:noProof/>
          <w:sz w:val="24"/>
          <w:szCs w:val="24"/>
        </w:rPr>
        <w:t>Journal of Educational Psychology</w:t>
      </w:r>
      <w:r w:rsidRPr="00DB3771">
        <w:rPr>
          <w:rFonts w:ascii="Times New Roman" w:hAnsi="Times New Roman" w:cs="Times New Roman"/>
          <w:noProof/>
          <w:sz w:val="24"/>
          <w:szCs w:val="24"/>
        </w:rPr>
        <w:t>. https://doi.org/10.1037/a0017486</w:t>
      </w:r>
    </w:p>
    <w:p w14:paraId="30115394"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Hayati, R., &amp; Setyaningrum, W. (2019). Identification of Misconceptions in Middle School Mathematics Utilizing Certainty of Response Index. </w:t>
      </w:r>
      <w:r w:rsidRPr="00DB3771">
        <w:rPr>
          <w:rFonts w:ascii="Times New Roman" w:hAnsi="Times New Roman" w:cs="Times New Roman"/>
          <w:i/>
          <w:iCs/>
          <w:noProof/>
          <w:sz w:val="24"/>
          <w:szCs w:val="24"/>
        </w:rPr>
        <w:t>Journal of Physics: Conference Series</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1320</w:t>
      </w:r>
      <w:r w:rsidRPr="00DB3771">
        <w:rPr>
          <w:rFonts w:ascii="Times New Roman" w:hAnsi="Times New Roman" w:cs="Times New Roman"/>
          <w:noProof/>
          <w:sz w:val="24"/>
          <w:szCs w:val="24"/>
        </w:rPr>
        <w:t xml:space="preserve">(1). </w:t>
      </w:r>
      <w:r w:rsidRPr="00DB3771">
        <w:rPr>
          <w:rFonts w:ascii="Times New Roman" w:hAnsi="Times New Roman" w:cs="Times New Roman"/>
          <w:noProof/>
          <w:sz w:val="24"/>
          <w:szCs w:val="24"/>
        </w:rPr>
        <w:lastRenderedPageBreak/>
        <w:t>https://doi.org/10.1088/1742-6596/1320/1/012041</w:t>
      </w:r>
    </w:p>
    <w:p w14:paraId="23C02B16"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Inglis, M., &amp; Alcock, L. (2012). Expert and novice approaches to reading mathematical proofs. </w:t>
      </w:r>
      <w:r w:rsidRPr="00DB3771">
        <w:rPr>
          <w:rFonts w:ascii="Times New Roman" w:hAnsi="Times New Roman" w:cs="Times New Roman"/>
          <w:i/>
          <w:iCs/>
          <w:noProof/>
          <w:sz w:val="24"/>
          <w:szCs w:val="24"/>
        </w:rPr>
        <w:t>Journal for Research in Mathematics Education</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43</w:t>
      </w:r>
      <w:r w:rsidRPr="00DB3771">
        <w:rPr>
          <w:rFonts w:ascii="Times New Roman" w:hAnsi="Times New Roman" w:cs="Times New Roman"/>
          <w:noProof/>
          <w:sz w:val="24"/>
          <w:szCs w:val="24"/>
        </w:rPr>
        <w:t>(4). https://doi.org/10.5951/jresematheduc.43.4.0358</w:t>
      </w:r>
    </w:p>
    <w:p w14:paraId="1E41A810"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Kolitsoe Moru, E., &amp; Qhobela, M. (2013). Secondary school teachers’ Pedagogical content knowledge of some common student errors and misconceptions in sets. </w:t>
      </w:r>
      <w:r w:rsidRPr="00DB3771">
        <w:rPr>
          <w:rFonts w:ascii="Times New Roman" w:hAnsi="Times New Roman" w:cs="Times New Roman"/>
          <w:i/>
          <w:iCs/>
          <w:noProof/>
          <w:sz w:val="24"/>
          <w:szCs w:val="24"/>
        </w:rPr>
        <w:t>African Journal of Research in Mathematics, Science and Technology Education</w:t>
      </w:r>
      <w:r w:rsidRPr="00DB3771">
        <w:rPr>
          <w:rFonts w:ascii="Times New Roman" w:hAnsi="Times New Roman" w:cs="Times New Roman"/>
          <w:noProof/>
          <w:sz w:val="24"/>
          <w:szCs w:val="24"/>
        </w:rPr>
        <w:t>. https://doi.org/10.1080/10288457.2013.848534</w:t>
      </w:r>
    </w:p>
    <w:p w14:paraId="57D922B6"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Lestyanto, L. M., Nasution, S. H., Tejo, E., Cahyowati, D., Kahfi, M. S., &amp; Malang, U. N. (2019). Kesalahan konstruksi konsep mahasiswa pada materi himpunan dan defragmentasi struktur berpikirnya. </w:t>
      </w:r>
      <w:r w:rsidRPr="00DB3771">
        <w:rPr>
          <w:rFonts w:ascii="Times New Roman" w:hAnsi="Times New Roman" w:cs="Times New Roman"/>
          <w:i/>
          <w:iCs/>
          <w:noProof/>
          <w:sz w:val="24"/>
          <w:szCs w:val="24"/>
        </w:rPr>
        <w:t>Jurnal Review Pembelajaran Matematika (Jrpm)</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4</w:t>
      </w:r>
      <w:r w:rsidRPr="00DB3771">
        <w:rPr>
          <w:rFonts w:ascii="Times New Roman" w:hAnsi="Times New Roman" w:cs="Times New Roman"/>
          <w:noProof/>
          <w:sz w:val="24"/>
          <w:szCs w:val="24"/>
        </w:rPr>
        <w:t>(2), 128–142.</w:t>
      </w:r>
    </w:p>
    <w:p w14:paraId="40158319"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Lucariello, J., Tine, M. T., &amp; Ganley, C. M. (2014). A formative assessment of students’ algebraic variable misconceptions. </w:t>
      </w:r>
      <w:r w:rsidRPr="00DB3771">
        <w:rPr>
          <w:rFonts w:ascii="Times New Roman" w:hAnsi="Times New Roman" w:cs="Times New Roman"/>
          <w:i/>
          <w:iCs/>
          <w:noProof/>
          <w:sz w:val="24"/>
          <w:szCs w:val="24"/>
        </w:rPr>
        <w:t>Journal of Mathematical Behavior</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33</w:t>
      </w:r>
      <w:r w:rsidRPr="00DB3771">
        <w:rPr>
          <w:rFonts w:ascii="Times New Roman" w:hAnsi="Times New Roman" w:cs="Times New Roman"/>
          <w:noProof/>
          <w:sz w:val="24"/>
          <w:szCs w:val="24"/>
        </w:rPr>
        <w:t>(1), 30–41. https://doi.org/10.1016/j.jmathb.2013.09.001</w:t>
      </w:r>
    </w:p>
    <w:p w14:paraId="14532DE7"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Lui, A. M., &amp; Bonner, S. M. (2016). Preservice and inservice teachers’ knowledge, beliefs, and instructional planning in primary school mathematics. </w:t>
      </w:r>
      <w:r w:rsidRPr="00DB3771">
        <w:rPr>
          <w:rFonts w:ascii="Times New Roman" w:hAnsi="Times New Roman" w:cs="Times New Roman"/>
          <w:i/>
          <w:iCs/>
          <w:noProof/>
          <w:sz w:val="24"/>
          <w:szCs w:val="24"/>
        </w:rPr>
        <w:t>Teaching and Teacher Education</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56</w:t>
      </w:r>
      <w:r w:rsidRPr="00DB3771">
        <w:rPr>
          <w:rFonts w:ascii="Times New Roman" w:hAnsi="Times New Roman" w:cs="Times New Roman"/>
          <w:noProof/>
          <w:sz w:val="24"/>
          <w:szCs w:val="24"/>
        </w:rPr>
        <w:t>, 1–13. https://doi.org/10.1016/j.tate.2016.01.015</w:t>
      </w:r>
    </w:p>
    <w:p w14:paraId="5614A5E6"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Ma, L. (2010). Knowing and teaching elementary mathematics: Teachers’ understanding of fundamental mathematics in China and the </w:t>
      </w:r>
      <w:r w:rsidRPr="00DB3771">
        <w:rPr>
          <w:rFonts w:ascii="Times New Roman" w:hAnsi="Times New Roman" w:cs="Times New Roman"/>
          <w:noProof/>
          <w:sz w:val="24"/>
          <w:szCs w:val="24"/>
        </w:rPr>
        <w:lastRenderedPageBreak/>
        <w:t xml:space="preserve">United States: Second Edition. In </w:t>
      </w:r>
      <w:r w:rsidRPr="00DB3771">
        <w:rPr>
          <w:rFonts w:ascii="Times New Roman" w:hAnsi="Times New Roman" w:cs="Times New Roman"/>
          <w:i/>
          <w:iCs/>
          <w:noProof/>
          <w:sz w:val="24"/>
          <w:szCs w:val="24"/>
        </w:rPr>
        <w:t>Knowing and Teaching Elementary Mathematics: Teachers’ Understanding of Fundamental Mathematics in China and the United States: Second Edition</w:t>
      </w:r>
      <w:r w:rsidRPr="00DB3771">
        <w:rPr>
          <w:rFonts w:ascii="Times New Roman" w:hAnsi="Times New Roman" w:cs="Times New Roman"/>
          <w:noProof/>
          <w:sz w:val="24"/>
          <w:szCs w:val="24"/>
        </w:rPr>
        <w:t>. https://doi.org/10.4324/9780203856345</w:t>
      </w:r>
    </w:p>
    <w:p w14:paraId="712D3E1F"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Mejia-Ramos, J. P., &amp; Weber, K. (2014). Why and how mathematicians read proofs: Further evidence from a survey study. </w:t>
      </w:r>
      <w:r w:rsidRPr="00DB3771">
        <w:rPr>
          <w:rFonts w:ascii="Times New Roman" w:hAnsi="Times New Roman" w:cs="Times New Roman"/>
          <w:i/>
          <w:iCs/>
          <w:noProof/>
          <w:sz w:val="24"/>
          <w:szCs w:val="24"/>
        </w:rPr>
        <w:t>Educational Studies in Mathematics</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85</w:t>
      </w:r>
      <w:r w:rsidRPr="00DB3771">
        <w:rPr>
          <w:rFonts w:ascii="Times New Roman" w:hAnsi="Times New Roman" w:cs="Times New Roman"/>
          <w:noProof/>
          <w:sz w:val="24"/>
          <w:szCs w:val="24"/>
        </w:rPr>
        <w:t>(2). https://doi.org/10.1007/s10649-013-9514-2</w:t>
      </w:r>
    </w:p>
    <w:p w14:paraId="6FB515BB"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Murphy, P. E. L., Evans, T., Klymchuk, S., Novak, J., Stephens, J., &amp; Thomas, M. (2020). University STEM students’ perceptions of creativity in non-routine problem-solving. </w:t>
      </w:r>
      <w:r w:rsidRPr="00DB3771">
        <w:rPr>
          <w:rFonts w:ascii="Times New Roman" w:hAnsi="Times New Roman" w:cs="Times New Roman"/>
          <w:i/>
          <w:iCs/>
          <w:noProof/>
          <w:sz w:val="24"/>
          <w:szCs w:val="24"/>
        </w:rPr>
        <w:t>ANZIAM Journal</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61</w:t>
      </w:r>
      <w:r w:rsidRPr="00DB3771">
        <w:rPr>
          <w:rFonts w:ascii="Times New Roman" w:hAnsi="Times New Roman" w:cs="Times New Roman"/>
          <w:noProof/>
          <w:sz w:val="24"/>
          <w:szCs w:val="24"/>
        </w:rPr>
        <w:t>, C152–C165. https://doi.org/10.21914/anziamj.v61i0.15052</w:t>
      </w:r>
    </w:p>
    <w:p w14:paraId="110FAB7C"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Ningrum, R. W., Yulianti, M., Helingo, D. D. Z., &amp; Budiarto, M. T. (2018). Students’ Misconceptions on Properties of Rectangles. </w:t>
      </w:r>
      <w:r w:rsidRPr="00DB3771">
        <w:rPr>
          <w:rFonts w:ascii="Times New Roman" w:hAnsi="Times New Roman" w:cs="Times New Roman"/>
          <w:i/>
          <w:iCs/>
          <w:noProof/>
          <w:sz w:val="24"/>
          <w:szCs w:val="24"/>
        </w:rPr>
        <w:t>Journal of Physics: Conference Series</w:t>
      </w:r>
      <w:r w:rsidRPr="00DB3771">
        <w:rPr>
          <w:rFonts w:ascii="Times New Roman" w:hAnsi="Times New Roman" w:cs="Times New Roman"/>
          <w:noProof/>
          <w:sz w:val="24"/>
          <w:szCs w:val="24"/>
        </w:rPr>
        <w:t>. https://doi.org/10.1088/1742-6596/947/1/012018</w:t>
      </w:r>
    </w:p>
    <w:p w14:paraId="213273F7"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Ojose, B. (2015). </w:t>
      </w:r>
      <w:r w:rsidRPr="00DB3771">
        <w:rPr>
          <w:rFonts w:ascii="Times New Roman" w:hAnsi="Times New Roman" w:cs="Times New Roman"/>
          <w:i/>
          <w:iCs/>
          <w:noProof/>
          <w:sz w:val="24"/>
          <w:szCs w:val="24"/>
        </w:rPr>
        <w:t>Students’ Misconceptions in Mathematics: Analysis of Remedies and What Research Says</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72</w:t>
      </w:r>
      <w:r w:rsidRPr="00DB3771">
        <w:rPr>
          <w:rFonts w:ascii="Times New Roman" w:hAnsi="Times New Roman" w:cs="Times New Roman"/>
          <w:noProof/>
          <w:sz w:val="24"/>
          <w:szCs w:val="24"/>
        </w:rPr>
        <w:t>, 30–34.</w:t>
      </w:r>
    </w:p>
    <w:p w14:paraId="27977BE3"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Orrantia, J., Muñez, D., Matilla, L., Sanchez, R., San Romualdo, S., &amp; Verschaffel, L. (2019). Disentangling the Mechanisms of Symbolic Number Processing in Adults’ Mathematics and Arithmetic Achievement. </w:t>
      </w:r>
      <w:r w:rsidRPr="00DB3771">
        <w:rPr>
          <w:rFonts w:ascii="Times New Roman" w:hAnsi="Times New Roman" w:cs="Times New Roman"/>
          <w:i/>
          <w:iCs/>
          <w:noProof/>
          <w:sz w:val="24"/>
          <w:szCs w:val="24"/>
        </w:rPr>
        <w:t>Cognitive Science</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43</w:t>
      </w:r>
      <w:r w:rsidRPr="00DB3771">
        <w:rPr>
          <w:rFonts w:ascii="Times New Roman" w:hAnsi="Times New Roman" w:cs="Times New Roman"/>
          <w:noProof/>
          <w:sz w:val="24"/>
          <w:szCs w:val="24"/>
        </w:rPr>
        <w:t>(1). https://doi.org/10.1111/cogs.12711</w:t>
      </w:r>
    </w:p>
    <w:p w14:paraId="79786CEF"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Sheu, T.-W., Chen, T.-L., Tsai, C.-P., </w:t>
      </w:r>
      <w:r w:rsidRPr="00DB3771">
        <w:rPr>
          <w:rFonts w:ascii="Times New Roman" w:hAnsi="Times New Roman" w:cs="Times New Roman"/>
          <w:noProof/>
          <w:sz w:val="24"/>
          <w:szCs w:val="24"/>
        </w:rPr>
        <w:lastRenderedPageBreak/>
        <w:t xml:space="preserve">Tzeng, J.-W., Deng, C.-P., &amp; Nagai, M. (2013). Analysis of Students’ Misconception Based on Rough Set Theory. </w:t>
      </w:r>
      <w:r w:rsidRPr="00DB3771">
        <w:rPr>
          <w:rFonts w:ascii="Times New Roman" w:hAnsi="Times New Roman" w:cs="Times New Roman"/>
          <w:i/>
          <w:iCs/>
          <w:noProof/>
          <w:sz w:val="24"/>
          <w:szCs w:val="24"/>
        </w:rPr>
        <w:t>Journal of Intelligent Learning Systems and Applications</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05</w:t>
      </w:r>
      <w:r w:rsidRPr="00DB3771">
        <w:rPr>
          <w:rFonts w:ascii="Times New Roman" w:hAnsi="Times New Roman" w:cs="Times New Roman"/>
          <w:noProof/>
          <w:sz w:val="24"/>
          <w:szCs w:val="24"/>
        </w:rPr>
        <w:t>(02), 67–83. https://doi.org/10.4236/jilsa.2013.52008</w:t>
      </w:r>
    </w:p>
    <w:p w14:paraId="1BF7F2E1"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Steele, M. D., &amp; Rogers, K. C. (2012). Relationships Between Mathematical Knowledge for Teaching and Teaching Practice: The Case of Proof. </w:t>
      </w:r>
      <w:r w:rsidRPr="00DB3771">
        <w:rPr>
          <w:rFonts w:ascii="Times New Roman" w:hAnsi="Times New Roman" w:cs="Times New Roman"/>
          <w:i/>
          <w:iCs/>
          <w:noProof/>
          <w:sz w:val="24"/>
          <w:szCs w:val="24"/>
        </w:rPr>
        <w:t>Journal of Mathematics Teacher Education</w:t>
      </w:r>
      <w:r w:rsidRPr="00DB3771">
        <w:rPr>
          <w:rFonts w:ascii="Times New Roman" w:hAnsi="Times New Roman" w:cs="Times New Roman"/>
          <w:noProof/>
          <w:sz w:val="24"/>
          <w:szCs w:val="24"/>
        </w:rPr>
        <w:t>. https://doi.org/10.1007/s10857-012-9204-5</w:t>
      </w:r>
    </w:p>
    <w:p w14:paraId="122D6481"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Stylianides, A. J., &amp; Stylianides, G. J. (2009). </w:t>
      </w:r>
      <w:r w:rsidRPr="00DB3771">
        <w:rPr>
          <w:rFonts w:ascii="Times New Roman" w:hAnsi="Times New Roman" w:cs="Times New Roman"/>
          <w:i/>
          <w:iCs/>
          <w:noProof/>
          <w:sz w:val="24"/>
          <w:szCs w:val="24"/>
        </w:rPr>
        <w:t>Proof constructions and evaluations</w:t>
      </w:r>
      <w:r w:rsidRPr="00DB3771">
        <w:rPr>
          <w:rFonts w:ascii="Times New Roman" w:hAnsi="Times New Roman" w:cs="Times New Roman"/>
          <w:noProof/>
          <w:sz w:val="24"/>
          <w:szCs w:val="24"/>
        </w:rPr>
        <w:t>. (March), 237–253. https://doi.org/10.1007/s10649-009-9191-3</w:t>
      </w:r>
    </w:p>
    <w:p w14:paraId="72755644"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Tambychik, T., &amp; Meerah, T. S. M. (2010). Students’ difficulties in mathematics problem-solving: </w:t>
      </w:r>
      <w:r w:rsidRPr="00DB3771">
        <w:rPr>
          <w:rFonts w:ascii="Times New Roman" w:hAnsi="Times New Roman" w:cs="Times New Roman"/>
          <w:noProof/>
          <w:sz w:val="24"/>
          <w:szCs w:val="24"/>
        </w:rPr>
        <w:lastRenderedPageBreak/>
        <w:t xml:space="preserve">What do they say? </w:t>
      </w:r>
      <w:r w:rsidRPr="00DB3771">
        <w:rPr>
          <w:rFonts w:ascii="Times New Roman" w:hAnsi="Times New Roman" w:cs="Times New Roman"/>
          <w:i/>
          <w:iCs/>
          <w:noProof/>
          <w:sz w:val="24"/>
          <w:szCs w:val="24"/>
        </w:rPr>
        <w:t>Procedia - Social and Behavioral Sciences</w:t>
      </w:r>
      <w:r w:rsidRPr="00DB3771">
        <w:rPr>
          <w:rFonts w:ascii="Times New Roman" w:hAnsi="Times New Roman" w:cs="Times New Roman"/>
          <w:noProof/>
          <w:sz w:val="24"/>
          <w:szCs w:val="24"/>
        </w:rPr>
        <w:t>, 142–151. https://doi.org/10.1016/j.sbspro.2010.12.020</w:t>
      </w:r>
    </w:p>
    <w:p w14:paraId="1A7B71C1"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B3771">
        <w:rPr>
          <w:rFonts w:ascii="Times New Roman" w:hAnsi="Times New Roman" w:cs="Times New Roman"/>
          <w:noProof/>
          <w:sz w:val="24"/>
          <w:szCs w:val="24"/>
        </w:rPr>
        <w:t xml:space="preserve">Tang, W. L., Tsai, J. T., &amp; Huang, C. Y. (2020). Inheritance coding with gagné-based learning hierarchy approach to developing mathematics skills assessment systems. </w:t>
      </w:r>
      <w:r w:rsidRPr="00DB3771">
        <w:rPr>
          <w:rFonts w:ascii="Times New Roman" w:hAnsi="Times New Roman" w:cs="Times New Roman"/>
          <w:i/>
          <w:iCs/>
          <w:noProof/>
          <w:sz w:val="24"/>
          <w:szCs w:val="24"/>
        </w:rPr>
        <w:t>Applied Sciences (Switzerland)</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10</w:t>
      </w:r>
      <w:r w:rsidRPr="00DB3771">
        <w:rPr>
          <w:rFonts w:ascii="Times New Roman" w:hAnsi="Times New Roman" w:cs="Times New Roman"/>
          <w:noProof/>
          <w:sz w:val="24"/>
          <w:szCs w:val="24"/>
        </w:rPr>
        <w:t>(4). https://doi.org/10.3390/app10041465</w:t>
      </w:r>
    </w:p>
    <w:p w14:paraId="0CC7C71E" w14:textId="77777777" w:rsidR="00DB3771" w:rsidRPr="00DB3771" w:rsidRDefault="00DB3771" w:rsidP="00DB3771">
      <w:pPr>
        <w:widowControl w:val="0"/>
        <w:autoSpaceDE w:val="0"/>
        <w:autoSpaceDN w:val="0"/>
        <w:adjustRightInd w:val="0"/>
        <w:spacing w:after="0" w:line="240" w:lineRule="auto"/>
        <w:ind w:left="480" w:hanging="480"/>
        <w:rPr>
          <w:rFonts w:ascii="Times New Roman" w:hAnsi="Times New Roman" w:cs="Times New Roman"/>
          <w:noProof/>
          <w:sz w:val="24"/>
        </w:rPr>
      </w:pPr>
      <w:r w:rsidRPr="00DB3771">
        <w:rPr>
          <w:rFonts w:ascii="Times New Roman" w:hAnsi="Times New Roman" w:cs="Times New Roman"/>
          <w:noProof/>
          <w:sz w:val="24"/>
          <w:szCs w:val="24"/>
        </w:rPr>
        <w:t xml:space="preserve">Viseu, F., Menezes, L., Fernandes, J. A., Gomes, A., &amp; Martins, P. M. (2017). Conceptions of basic education teachers about math proof: Influence of professional experience. </w:t>
      </w:r>
      <w:r w:rsidRPr="00DB3771">
        <w:rPr>
          <w:rFonts w:ascii="Times New Roman" w:hAnsi="Times New Roman" w:cs="Times New Roman"/>
          <w:i/>
          <w:iCs/>
          <w:noProof/>
          <w:sz w:val="24"/>
          <w:szCs w:val="24"/>
        </w:rPr>
        <w:t>Bolema - Mathematics Education Bulletin</w:t>
      </w:r>
      <w:r w:rsidRPr="00DB3771">
        <w:rPr>
          <w:rFonts w:ascii="Times New Roman" w:hAnsi="Times New Roman" w:cs="Times New Roman"/>
          <w:noProof/>
          <w:sz w:val="24"/>
          <w:szCs w:val="24"/>
        </w:rPr>
        <w:t xml:space="preserve">, </w:t>
      </w:r>
      <w:r w:rsidRPr="00DB3771">
        <w:rPr>
          <w:rFonts w:ascii="Times New Roman" w:hAnsi="Times New Roman" w:cs="Times New Roman"/>
          <w:i/>
          <w:iCs/>
          <w:noProof/>
          <w:sz w:val="24"/>
          <w:szCs w:val="24"/>
        </w:rPr>
        <w:t>31</w:t>
      </w:r>
      <w:r w:rsidRPr="00DB3771">
        <w:rPr>
          <w:rFonts w:ascii="Times New Roman" w:hAnsi="Times New Roman" w:cs="Times New Roman"/>
          <w:noProof/>
          <w:sz w:val="24"/>
          <w:szCs w:val="24"/>
        </w:rPr>
        <w:t>(57), 430–453. https://doi.org/10.1590/1980-4415v31n57a21</w:t>
      </w:r>
    </w:p>
    <w:p w14:paraId="5ACF7735" w14:textId="1FE39790" w:rsidR="00DB3771" w:rsidRDefault="00DB3771" w:rsidP="00133102">
      <w:pPr>
        <w:pStyle w:val="ListParagraph1"/>
        <w:spacing w:line="288" w:lineRule="auto"/>
        <w:ind w:left="0"/>
        <w:rPr>
          <w:b/>
          <w:szCs w:val="22"/>
        </w:rPr>
      </w:pPr>
      <w:r>
        <w:rPr>
          <w:b/>
          <w:szCs w:val="22"/>
        </w:rPr>
        <w:fldChar w:fldCharType="end"/>
      </w:r>
    </w:p>
    <w:p w14:paraId="7EB93F24" w14:textId="1692C7C1" w:rsidR="00396E18" w:rsidRPr="00133102" w:rsidRDefault="00396E18" w:rsidP="00133102">
      <w:pPr>
        <w:pStyle w:val="ListParagraph1"/>
        <w:spacing w:line="288" w:lineRule="auto"/>
        <w:ind w:left="0"/>
        <w:rPr>
          <w:b/>
          <w:szCs w:val="22"/>
        </w:rPr>
        <w:sectPr w:rsidR="00396E18" w:rsidRPr="00133102" w:rsidSect="004D0001">
          <w:type w:val="continuous"/>
          <w:pgSz w:w="11907" w:h="16839" w:code="9"/>
          <w:pgMar w:top="1701" w:right="1701" w:bottom="1701" w:left="1701" w:header="708" w:footer="708" w:gutter="0"/>
          <w:cols w:num="2" w:space="708"/>
          <w:docGrid w:linePitch="360"/>
        </w:sectPr>
      </w:pPr>
    </w:p>
    <w:p w14:paraId="1F6F0BD7" w14:textId="516432DD" w:rsidR="003D1603" w:rsidRDefault="003D1603" w:rsidP="00396E18">
      <w:pPr>
        <w:autoSpaceDE w:val="0"/>
        <w:autoSpaceDN w:val="0"/>
        <w:adjustRightInd w:val="0"/>
        <w:spacing w:after="0" w:line="240" w:lineRule="auto"/>
        <w:jc w:val="both"/>
        <w:rPr>
          <w:rFonts w:ascii="Times New Roman" w:hAnsi="Times New Roman" w:cs="Times New Roman"/>
          <w:sz w:val="24"/>
          <w:lang w:val="en-US"/>
        </w:rPr>
      </w:pPr>
    </w:p>
    <w:p w14:paraId="6D89AC36" w14:textId="77777777" w:rsidR="002616BE" w:rsidRPr="002616BE" w:rsidRDefault="002616BE" w:rsidP="0024318F">
      <w:pPr>
        <w:spacing w:after="0" w:line="240" w:lineRule="auto"/>
        <w:jc w:val="both"/>
        <w:rPr>
          <w:rFonts w:ascii="Times New Roman" w:eastAsia="Times New Roman" w:hAnsi="Times New Roman"/>
          <w:sz w:val="24"/>
          <w:szCs w:val="24"/>
          <w:lang w:val="en-US" w:eastAsia="id-ID"/>
        </w:rPr>
      </w:pPr>
    </w:p>
    <w:p w14:paraId="55A08BE0" w14:textId="77777777" w:rsidR="006E6672" w:rsidRPr="004F616E" w:rsidRDefault="006E6672" w:rsidP="00071473">
      <w:pPr>
        <w:autoSpaceDE w:val="0"/>
        <w:autoSpaceDN w:val="0"/>
        <w:adjustRightInd w:val="0"/>
        <w:spacing w:after="0" w:line="240" w:lineRule="auto"/>
        <w:jc w:val="both"/>
        <w:rPr>
          <w:b/>
          <w:sz w:val="12"/>
          <w:lang w:val="en-US"/>
        </w:rPr>
      </w:pPr>
    </w:p>
    <w:sectPr w:rsidR="006E6672" w:rsidRPr="004F616E"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1D8AE" w14:textId="77777777" w:rsidR="00EE2025" w:rsidRDefault="00EE2025" w:rsidP="00876A28">
      <w:pPr>
        <w:spacing w:after="0" w:line="240" w:lineRule="auto"/>
      </w:pPr>
      <w:r>
        <w:separator/>
      </w:r>
    </w:p>
  </w:endnote>
  <w:endnote w:type="continuationSeparator" w:id="0">
    <w:p w14:paraId="7A849349" w14:textId="77777777" w:rsidR="00EE2025" w:rsidRDefault="00EE2025"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ED2C0" w14:textId="77777777" w:rsidR="00EE2025" w:rsidRDefault="00EE2025" w:rsidP="00876A28">
      <w:pPr>
        <w:spacing w:after="0" w:line="240" w:lineRule="auto"/>
      </w:pPr>
      <w:r>
        <w:separator/>
      </w:r>
    </w:p>
  </w:footnote>
  <w:footnote w:type="continuationSeparator" w:id="0">
    <w:p w14:paraId="3F8A35A5" w14:textId="77777777" w:rsidR="00EE2025" w:rsidRDefault="00EE2025" w:rsidP="00876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81174"/>
    <w:multiLevelType w:val="hybridMultilevel"/>
    <w:tmpl w:val="D32CBBE8"/>
    <w:lvl w:ilvl="0" w:tplc="FD486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52E15"/>
    <w:rsid w:val="00055F92"/>
    <w:rsid w:val="00071473"/>
    <w:rsid w:val="0007215F"/>
    <w:rsid w:val="00075288"/>
    <w:rsid w:val="00080C74"/>
    <w:rsid w:val="0009344C"/>
    <w:rsid w:val="000B6029"/>
    <w:rsid w:val="000C106C"/>
    <w:rsid w:val="000C551A"/>
    <w:rsid w:val="000E6ED2"/>
    <w:rsid w:val="000F2AD9"/>
    <w:rsid w:val="00112181"/>
    <w:rsid w:val="00115282"/>
    <w:rsid w:val="00115709"/>
    <w:rsid w:val="00132927"/>
    <w:rsid w:val="00133102"/>
    <w:rsid w:val="001332D7"/>
    <w:rsid w:val="0014136C"/>
    <w:rsid w:val="001813C3"/>
    <w:rsid w:val="00191BBA"/>
    <w:rsid w:val="001970F2"/>
    <w:rsid w:val="001A135A"/>
    <w:rsid w:val="001A351B"/>
    <w:rsid w:val="001A50F3"/>
    <w:rsid w:val="001B7132"/>
    <w:rsid w:val="001D0516"/>
    <w:rsid w:val="001D1D55"/>
    <w:rsid w:val="001E0294"/>
    <w:rsid w:val="001F17DF"/>
    <w:rsid w:val="001F4E78"/>
    <w:rsid w:val="00210EE8"/>
    <w:rsid w:val="00216483"/>
    <w:rsid w:val="0024317E"/>
    <w:rsid w:val="0024318F"/>
    <w:rsid w:val="00253913"/>
    <w:rsid w:val="002616BE"/>
    <w:rsid w:val="00272F77"/>
    <w:rsid w:val="002A5ABA"/>
    <w:rsid w:val="002B76A4"/>
    <w:rsid w:val="002C4589"/>
    <w:rsid w:val="002D1CB5"/>
    <w:rsid w:val="002D7B1E"/>
    <w:rsid w:val="00306990"/>
    <w:rsid w:val="00322857"/>
    <w:rsid w:val="00323915"/>
    <w:rsid w:val="0032764F"/>
    <w:rsid w:val="00332D2F"/>
    <w:rsid w:val="003364B5"/>
    <w:rsid w:val="00340E1B"/>
    <w:rsid w:val="0034317C"/>
    <w:rsid w:val="00351030"/>
    <w:rsid w:val="00365E26"/>
    <w:rsid w:val="00366490"/>
    <w:rsid w:val="0037426C"/>
    <w:rsid w:val="00390EE3"/>
    <w:rsid w:val="00396E18"/>
    <w:rsid w:val="003A2532"/>
    <w:rsid w:val="003C1867"/>
    <w:rsid w:val="003D1603"/>
    <w:rsid w:val="003D4495"/>
    <w:rsid w:val="003D6122"/>
    <w:rsid w:val="003E0D6E"/>
    <w:rsid w:val="003F1982"/>
    <w:rsid w:val="004002F1"/>
    <w:rsid w:val="00402FA0"/>
    <w:rsid w:val="00403A31"/>
    <w:rsid w:val="00413731"/>
    <w:rsid w:val="004155DE"/>
    <w:rsid w:val="00441A1E"/>
    <w:rsid w:val="00463DB3"/>
    <w:rsid w:val="004671F0"/>
    <w:rsid w:val="00485CEA"/>
    <w:rsid w:val="00495A66"/>
    <w:rsid w:val="00495E76"/>
    <w:rsid w:val="004C0443"/>
    <w:rsid w:val="004C7C87"/>
    <w:rsid w:val="004D0001"/>
    <w:rsid w:val="004E108D"/>
    <w:rsid w:val="004E120A"/>
    <w:rsid w:val="004F2823"/>
    <w:rsid w:val="004F616E"/>
    <w:rsid w:val="005014B9"/>
    <w:rsid w:val="00503B12"/>
    <w:rsid w:val="0050411D"/>
    <w:rsid w:val="00505A04"/>
    <w:rsid w:val="00507349"/>
    <w:rsid w:val="0050781C"/>
    <w:rsid w:val="00513456"/>
    <w:rsid w:val="00526B30"/>
    <w:rsid w:val="00551A95"/>
    <w:rsid w:val="00562671"/>
    <w:rsid w:val="005718AA"/>
    <w:rsid w:val="0059672C"/>
    <w:rsid w:val="005B1A7A"/>
    <w:rsid w:val="005C4BE7"/>
    <w:rsid w:val="005C620E"/>
    <w:rsid w:val="005F6B43"/>
    <w:rsid w:val="0060512F"/>
    <w:rsid w:val="00617031"/>
    <w:rsid w:val="00637D80"/>
    <w:rsid w:val="00641572"/>
    <w:rsid w:val="00646764"/>
    <w:rsid w:val="006B1C7E"/>
    <w:rsid w:val="006D3046"/>
    <w:rsid w:val="006E6672"/>
    <w:rsid w:val="006E713E"/>
    <w:rsid w:val="00710513"/>
    <w:rsid w:val="00721370"/>
    <w:rsid w:val="00732148"/>
    <w:rsid w:val="00736225"/>
    <w:rsid w:val="007416C8"/>
    <w:rsid w:val="0076667C"/>
    <w:rsid w:val="00767184"/>
    <w:rsid w:val="007C3C14"/>
    <w:rsid w:val="007E29D0"/>
    <w:rsid w:val="007E4D9A"/>
    <w:rsid w:val="007F0C31"/>
    <w:rsid w:val="00845EC2"/>
    <w:rsid w:val="008670BC"/>
    <w:rsid w:val="00876A28"/>
    <w:rsid w:val="008777C9"/>
    <w:rsid w:val="00881AC8"/>
    <w:rsid w:val="008A2CD4"/>
    <w:rsid w:val="008A7350"/>
    <w:rsid w:val="008C4542"/>
    <w:rsid w:val="008C5693"/>
    <w:rsid w:val="008D22CE"/>
    <w:rsid w:val="008D2AF9"/>
    <w:rsid w:val="008D3F90"/>
    <w:rsid w:val="008D42EB"/>
    <w:rsid w:val="00902613"/>
    <w:rsid w:val="00902F94"/>
    <w:rsid w:val="009225E1"/>
    <w:rsid w:val="0092351A"/>
    <w:rsid w:val="00935A75"/>
    <w:rsid w:val="00936CC6"/>
    <w:rsid w:val="00962F99"/>
    <w:rsid w:val="00965688"/>
    <w:rsid w:val="00970864"/>
    <w:rsid w:val="0097567B"/>
    <w:rsid w:val="00985580"/>
    <w:rsid w:val="0099753E"/>
    <w:rsid w:val="009B2BDF"/>
    <w:rsid w:val="009D189D"/>
    <w:rsid w:val="009F5B63"/>
    <w:rsid w:val="00A02C8E"/>
    <w:rsid w:val="00A41BF7"/>
    <w:rsid w:val="00A46622"/>
    <w:rsid w:val="00A6412B"/>
    <w:rsid w:val="00A73F4A"/>
    <w:rsid w:val="00A81F90"/>
    <w:rsid w:val="00A826E8"/>
    <w:rsid w:val="00A82ACA"/>
    <w:rsid w:val="00AB4130"/>
    <w:rsid w:val="00AE27D4"/>
    <w:rsid w:val="00B236E2"/>
    <w:rsid w:val="00B406A3"/>
    <w:rsid w:val="00B4283E"/>
    <w:rsid w:val="00B53C1A"/>
    <w:rsid w:val="00B546BE"/>
    <w:rsid w:val="00B86F6C"/>
    <w:rsid w:val="00B91448"/>
    <w:rsid w:val="00B93795"/>
    <w:rsid w:val="00BD0F89"/>
    <w:rsid w:val="00BD5604"/>
    <w:rsid w:val="00BE455A"/>
    <w:rsid w:val="00C36AC3"/>
    <w:rsid w:val="00C377EA"/>
    <w:rsid w:val="00C85C52"/>
    <w:rsid w:val="00C90B36"/>
    <w:rsid w:val="00CC219E"/>
    <w:rsid w:val="00CC4526"/>
    <w:rsid w:val="00CC480C"/>
    <w:rsid w:val="00CC494B"/>
    <w:rsid w:val="00CC6AC4"/>
    <w:rsid w:val="00CC7F11"/>
    <w:rsid w:val="00CD61EC"/>
    <w:rsid w:val="00CE0C13"/>
    <w:rsid w:val="00D018BA"/>
    <w:rsid w:val="00D10062"/>
    <w:rsid w:val="00D152E1"/>
    <w:rsid w:val="00D17815"/>
    <w:rsid w:val="00D228A1"/>
    <w:rsid w:val="00D2401F"/>
    <w:rsid w:val="00D66B88"/>
    <w:rsid w:val="00D7284B"/>
    <w:rsid w:val="00D77877"/>
    <w:rsid w:val="00D81360"/>
    <w:rsid w:val="00D81A6F"/>
    <w:rsid w:val="00D93E64"/>
    <w:rsid w:val="00DB3771"/>
    <w:rsid w:val="00DB61A9"/>
    <w:rsid w:val="00DD6D38"/>
    <w:rsid w:val="00DD707F"/>
    <w:rsid w:val="00E371E5"/>
    <w:rsid w:val="00E47D0B"/>
    <w:rsid w:val="00E61EB2"/>
    <w:rsid w:val="00E64279"/>
    <w:rsid w:val="00E715A5"/>
    <w:rsid w:val="00E7292B"/>
    <w:rsid w:val="00E75587"/>
    <w:rsid w:val="00E933F3"/>
    <w:rsid w:val="00EB3DD2"/>
    <w:rsid w:val="00ED1E96"/>
    <w:rsid w:val="00EE2025"/>
    <w:rsid w:val="00EF5420"/>
    <w:rsid w:val="00F436A5"/>
    <w:rsid w:val="00F459E2"/>
    <w:rsid w:val="00F7117A"/>
    <w:rsid w:val="00F72B9A"/>
    <w:rsid w:val="00F734E2"/>
    <w:rsid w:val="00F8342D"/>
    <w:rsid w:val="00F94C00"/>
    <w:rsid w:val="00FA7845"/>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3D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2316">
      <w:bodyDiv w:val="1"/>
      <w:marLeft w:val="0"/>
      <w:marRight w:val="0"/>
      <w:marTop w:val="0"/>
      <w:marBottom w:val="0"/>
      <w:divBdr>
        <w:top w:val="none" w:sz="0" w:space="0" w:color="auto"/>
        <w:left w:val="none" w:sz="0" w:space="0" w:color="auto"/>
        <w:bottom w:val="none" w:sz="0" w:space="0" w:color="auto"/>
        <w:right w:val="none" w:sz="0" w:space="0" w:color="auto"/>
      </w:divBdr>
    </w:div>
    <w:div w:id="224531394">
      <w:bodyDiv w:val="1"/>
      <w:marLeft w:val="0"/>
      <w:marRight w:val="0"/>
      <w:marTop w:val="0"/>
      <w:marBottom w:val="0"/>
      <w:divBdr>
        <w:top w:val="none" w:sz="0" w:space="0" w:color="auto"/>
        <w:left w:val="none" w:sz="0" w:space="0" w:color="auto"/>
        <w:bottom w:val="none" w:sz="0" w:space="0" w:color="auto"/>
        <w:right w:val="none" w:sz="0" w:space="0" w:color="auto"/>
      </w:divBdr>
    </w:div>
    <w:div w:id="648248788">
      <w:bodyDiv w:val="1"/>
      <w:marLeft w:val="0"/>
      <w:marRight w:val="0"/>
      <w:marTop w:val="0"/>
      <w:marBottom w:val="0"/>
      <w:divBdr>
        <w:top w:val="none" w:sz="0" w:space="0" w:color="auto"/>
        <w:left w:val="none" w:sz="0" w:space="0" w:color="auto"/>
        <w:bottom w:val="none" w:sz="0" w:space="0" w:color="auto"/>
        <w:right w:val="none" w:sz="0" w:space="0" w:color="auto"/>
      </w:divBdr>
    </w:div>
    <w:div w:id="81757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usna@umm.ac.id"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creativecommons.org/licenses/by/4.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E21DB-5FA0-4FAF-9AB4-191026499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Pages>
  <Words>12640</Words>
  <Characters>72051</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ASUS</cp:lastModifiedBy>
  <cp:revision>168</cp:revision>
  <cp:lastPrinted>2019-06-30T04:57:00Z</cp:lastPrinted>
  <dcterms:created xsi:type="dcterms:W3CDTF">2019-03-22T16:02:00Z</dcterms:created>
  <dcterms:modified xsi:type="dcterms:W3CDTF">2021-05-20T01:29:00Z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f587c31b-12f7-3af2-bbc2-98138f274908</vt:lpwstr>
  </property>
  <property fmtid="{D5CDD505-2E9C-101B-9397-08002B2CF9AE}" pid="24" name="Mendeley Citation Style_1">
    <vt:lpwstr>http://www.zotero.org/styles/apa</vt:lpwstr>
  </property>
</Properties>
</file>