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9EF48" w14:textId="3D42455D" w:rsidR="00071473" w:rsidRPr="00071473" w:rsidRDefault="003D526E" w:rsidP="00071473">
      <w:pPr>
        <w:spacing w:after="0" w:line="240" w:lineRule="auto"/>
        <w:jc w:val="center"/>
        <w:rPr>
          <w:rFonts w:ascii="Times New Roman" w:hAnsi="Times New Roman"/>
          <w:b/>
          <w:sz w:val="24"/>
        </w:rPr>
      </w:pPr>
      <w:r w:rsidRPr="003D526E">
        <w:rPr>
          <w:rFonts w:ascii="Times New Roman" w:hAnsi="Times New Roman"/>
          <w:b/>
          <w:sz w:val="24"/>
          <w:lang w:val="en-US"/>
        </w:rPr>
        <w:t>ANALYSIS OF STUDENT DIFFICULTIES IN SOLVING MATHEMATICS QUESTIONS FROM MATHEMATIC LOGICAL INTELLIGENCE LOGIC</w:t>
      </w:r>
    </w:p>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35BEB049" w14:textId="7FB75599" w:rsidR="00071473" w:rsidRPr="004E108D" w:rsidRDefault="003D526E"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 xml:space="preserve">Vera </w:t>
      </w:r>
      <w:proofErr w:type="spellStart"/>
      <w:r>
        <w:rPr>
          <w:rFonts w:ascii="Times New Roman" w:hAnsi="Times New Roman" w:cs="Times New Roman"/>
          <w:b/>
          <w:color w:val="000000" w:themeColor="text1"/>
          <w:sz w:val="24"/>
          <w:szCs w:val="24"/>
          <w:lang w:val="en-US"/>
        </w:rPr>
        <w:t>Dewi</w:t>
      </w:r>
      <w:proofErr w:type="spellEnd"/>
      <w:r>
        <w:rPr>
          <w:rFonts w:ascii="Times New Roman" w:hAnsi="Times New Roman" w:cs="Times New Roman"/>
          <w:b/>
          <w:color w:val="000000" w:themeColor="text1"/>
          <w:sz w:val="24"/>
          <w:szCs w:val="24"/>
          <w:lang w:val="en-US"/>
        </w:rPr>
        <w:t xml:space="preserve"> Susanti</w:t>
      </w:r>
      <w:r w:rsidR="00071473">
        <w:rPr>
          <w:rFonts w:ascii="Times New Roman" w:hAnsi="Times New Roman" w:cs="Times New Roman"/>
          <w:b/>
          <w:color w:val="000000" w:themeColor="text1"/>
          <w:sz w:val="24"/>
          <w:szCs w:val="24"/>
          <w:vertAlign w:val="superscript"/>
          <w:lang w:val="en-US"/>
        </w:rPr>
        <w:t>1</w:t>
      </w:r>
      <w:proofErr w:type="gramStart"/>
      <w:r w:rsidR="00071473">
        <w:rPr>
          <w:rFonts w:ascii="Times New Roman" w:hAnsi="Times New Roman" w:cs="Times New Roman"/>
          <w:b/>
          <w:color w:val="000000" w:themeColor="text1"/>
          <w:sz w:val="24"/>
          <w:szCs w:val="24"/>
          <w:lang w:val="en-US"/>
        </w:rPr>
        <w:t xml:space="preserve">,  </w:t>
      </w:r>
      <w:r>
        <w:rPr>
          <w:rFonts w:ascii="Times New Roman" w:hAnsi="Times New Roman" w:cs="Times New Roman"/>
          <w:b/>
          <w:color w:val="000000" w:themeColor="text1"/>
          <w:sz w:val="24"/>
          <w:szCs w:val="24"/>
          <w:lang w:val="en-US"/>
        </w:rPr>
        <w:t>Rika</w:t>
      </w:r>
      <w:proofErr w:type="gramEnd"/>
      <w:r>
        <w:rPr>
          <w:rFonts w:ascii="Times New Roman" w:hAnsi="Times New Roman" w:cs="Times New Roman"/>
          <w:b/>
          <w:color w:val="000000" w:themeColor="text1"/>
          <w:sz w:val="24"/>
          <w:szCs w:val="24"/>
          <w:lang w:val="en-US"/>
        </w:rPr>
        <w:t xml:space="preserve"> Wulandari</w:t>
      </w:r>
      <w:r w:rsidR="00071473">
        <w:rPr>
          <w:rFonts w:ascii="Times New Roman" w:hAnsi="Times New Roman" w:cs="Times New Roman"/>
          <w:b/>
          <w:color w:val="000000" w:themeColor="text1"/>
          <w:sz w:val="24"/>
          <w:szCs w:val="24"/>
          <w:vertAlign w:val="superscript"/>
          <w:lang w:val="en-US"/>
        </w:rPr>
        <w:t>2</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2CD52254" w:rsidR="00071473" w:rsidRPr="004E108D" w:rsidRDefault="003D526E"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r w:rsidR="00071473">
        <w:rPr>
          <w:rFonts w:ascii="Times New Roman" w:hAnsi="Times New Roman" w:cs="Times New Roman"/>
          <w:color w:val="000000" w:themeColor="text1"/>
          <w:sz w:val="24"/>
          <w:szCs w:val="24"/>
          <w:vertAlign w:val="superscript"/>
          <w:lang w:val="en-US"/>
        </w:rPr>
        <w:t xml:space="preserve"> </w:t>
      </w:r>
      <w:proofErr w:type="spellStart"/>
      <w:r>
        <w:rPr>
          <w:rFonts w:ascii="Times New Roman" w:hAnsi="Times New Roman" w:cs="Times New Roman"/>
          <w:color w:val="000000" w:themeColor="text1"/>
          <w:sz w:val="24"/>
          <w:szCs w:val="24"/>
          <w:lang w:val="en-US"/>
        </w:rPr>
        <w:t>Universitas</w:t>
      </w:r>
      <w:proofErr w:type="spellEnd"/>
      <w:r>
        <w:rPr>
          <w:rFonts w:ascii="Times New Roman" w:hAnsi="Times New Roman" w:cs="Times New Roman"/>
          <w:color w:val="000000" w:themeColor="text1"/>
          <w:sz w:val="24"/>
          <w:szCs w:val="24"/>
          <w:lang w:val="en-US"/>
        </w:rPr>
        <w:t xml:space="preserve"> PGRI </w:t>
      </w:r>
      <w:proofErr w:type="spellStart"/>
      <w:r>
        <w:rPr>
          <w:rFonts w:ascii="Times New Roman" w:hAnsi="Times New Roman" w:cs="Times New Roman"/>
          <w:color w:val="000000" w:themeColor="text1"/>
          <w:sz w:val="24"/>
          <w:szCs w:val="24"/>
          <w:lang w:val="en-US"/>
        </w:rPr>
        <w:t>Madiun</w:t>
      </w:r>
      <w:proofErr w:type="spellEnd"/>
      <w:r w:rsidR="005718AA">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Madiun</w:t>
      </w:r>
      <w:proofErr w:type="spellEnd"/>
      <w:r w:rsidR="005718AA">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Indonesia</w:t>
      </w:r>
    </w:p>
    <w:p w14:paraId="1D01D6D1" w14:textId="54C57C0C" w:rsidR="003D6122" w:rsidRPr="003D6122" w:rsidRDefault="003D526E"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rPr>
        <w:t>2</w:t>
      </w:r>
      <w:r w:rsidR="00340E1B">
        <w:rPr>
          <w:rFonts w:ascii="Times New Roman" w:hAnsi="Times New Roman" w:cs="Times New Roman"/>
          <w:color w:val="000000" w:themeColor="text1"/>
          <w:sz w:val="24"/>
          <w:szCs w:val="24"/>
          <w:vertAlign w:val="superscript"/>
          <w:lang w:val="en-US"/>
        </w:rPr>
        <w:t xml:space="preserve"> </w:t>
      </w:r>
      <w:proofErr w:type="spellStart"/>
      <w:r>
        <w:rPr>
          <w:rFonts w:ascii="Times New Roman" w:hAnsi="Times New Roman" w:cs="Times New Roman"/>
          <w:color w:val="000000" w:themeColor="text1"/>
          <w:sz w:val="24"/>
          <w:szCs w:val="24"/>
          <w:lang w:val="en-US"/>
        </w:rPr>
        <w:t>Universitas</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Trunojoyo</w:t>
      </w:r>
      <w:proofErr w:type="spellEnd"/>
      <w:r>
        <w:rPr>
          <w:rFonts w:ascii="Times New Roman" w:hAnsi="Times New Roman" w:cs="Times New Roman"/>
          <w:color w:val="000000" w:themeColor="text1"/>
          <w:sz w:val="24"/>
          <w:szCs w:val="24"/>
          <w:lang w:val="en-US"/>
        </w:rPr>
        <w:t xml:space="preserve"> Madura</w:t>
      </w:r>
      <w:r w:rsidR="005718AA">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Madura, Indonesia</w:t>
      </w:r>
    </w:p>
    <w:p w14:paraId="6A9AE498" w14:textId="08445366" w:rsidR="003D6122" w:rsidRPr="003D526E"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t xml:space="preserve"> </w:t>
      </w:r>
      <w:r>
        <w:rPr>
          <w:sz w:val="18"/>
          <w:szCs w:val="18"/>
        </w:rPr>
        <w:t>*</w:t>
      </w:r>
      <w:r w:rsidR="00F459E2">
        <w:rPr>
          <w:rFonts w:ascii="Times New Roman" w:hAnsi="Times New Roman" w:cs="Times New Roman"/>
          <w:i/>
          <w:iCs/>
          <w:sz w:val="18"/>
          <w:szCs w:val="18"/>
        </w:rPr>
        <w:t xml:space="preserve">Corresponding author. </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4EA1C0E6" w:rsidR="00340E1B" w:rsidRPr="005C620E" w:rsidRDefault="00813946" w:rsidP="00A571AE">
            <w:pPr>
              <w:tabs>
                <w:tab w:val="left" w:pos="3119"/>
              </w:tabs>
              <w:rPr>
                <w:rStyle w:val="hps"/>
                <w:rFonts w:ascii="Times New Roman" w:hAnsi="Times New Roman" w:cs="Times New Roman"/>
                <w:i/>
                <w:sz w:val="24"/>
                <w:szCs w:val="24"/>
                <w:vertAlign w:val="superscript"/>
                <w:lang w:val="en-US"/>
              </w:rPr>
            </w:pPr>
            <w:hyperlink r:id="rId8" w:history="1">
              <w:r w:rsidR="00A571AE" w:rsidRPr="00A662A6">
                <w:rPr>
                  <w:rStyle w:val="Hyperlink"/>
                  <w:rFonts w:ascii="Times New Roman" w:hAnsi="Times New Roman" w:cs="Times New Roman"/>
                  <w:i/>
                  <w:sz w:val="24"/>
                  <w:szCs w:val="24"/>
                  <w:lang w:val="en-US"/>
                </w:rPr>
                <w:t>vera.mathedu@unipma.ac.id</w:t>
              </w:r>
            </w:hyperlink>
            <w:r w:rsidR="00A571AE">
              <w:rPr>
                <w:rFonts w:ascii="Times New Roman" w:hAnsi="Times New Roman" w:cs="Times New Roman"/>
                <w:i/>
                <w:sz w:val="24"/>
                <w:szCs w:val="24"/>
                <w:lang w:val="en-US"/>
              </w:rPr>
              <w:t xml:space="preserve"> </w:t>
            </w:r>
            <w:r w:rsidR="005C620E">
              <w:rPr>
                <w:rStyle w:val="hps"/>
                <w:rFonts w:ascii="Times New Roman" w:hAnsi="Times New Roman" w:cs="Times New Roman"/>
                <w:i/>
                <w:sz w:val="24"/>
                <w:szCs w:val="24"/>
                <w:vertAlign w:val="superscript"/>
                <w:lang w:val="en-US"/>
              </w:rPr>
              <w:t>1)</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3ED0A7EB" w:rsidR="00340E1B" w:rsidRPr="005C620E" w:rsidRDefault="00A571AE" w:rsidP="00340E1B">
            <w:pPr>
              <w:tabs>
                <w:tab w:val="left" w:pos="3119"/>
              </w:tabs>
              <w:rPr>
                <w:rStyle w:val="hps"/>
                <w:rFonts w:ascii="Times New Roman" w:hAnsi="Times New Roman" w:cs="Times New Roman"/>
                <w:i/>
                <w:sz w:val="24"/>
                <w:szCs w:val="24"/>
                <w:vertAlign w:val="superscript"/>
                <w:lang w:val="en-US"/>
              </w:rPr>
            </w:pPr>
            <w:r w:rsidRPr="00A571AE">
              <w:rPr>
                <w:rStyle w:val="Hyperlink"/>
                <w:rFonts w:ascii="Times New Roman" w:hAnsi="Times New Roman" w:cs="Times New Roman"/>
                <w:i/>
                <w:sz w:val="24"/>
                <w:szCs w:val="24"/>
                <w:lang w:val="en-US"/>
              </w:rPr>
              <w:t>rika.wulandari@trunojoyo.ac.id</w:t>
            </w:r>
            <w:r w:rsidR="005C620E">
              <w:rPr>
                <w:rFonts w:ascii="Times New Roman" w:hAnsi="Times New Roman" w:cs="Times New Roman"/>
                <w:i/>
                <w:sz w:val="24"/>
                <w:szCs w:val="24"/>
                <w:lang w:val="en-US"/>
              </w:rPr>
              <w:t xml:space="preserve"> </w:t>
            </w:r>
            <w:r w:rsidR="005C620E">
              <w:rPr>
                <w:rFonts w:ascii="Times New Roman" w:hAnsi="Times New Roman" w:cs="Times New Roman"/>
                <w:i/>
                <w:sz w:val="24"/>
                <w:szCs w:val="24"/>
                <w:vertAlign w:val="superscript"/>
                <w:lang w:val="en-US"/>
              </w:rPr>
              <w:t>2)</w:t>
            </w: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4287A0C4" w:rsidR="00340E1B" w:rsidRPr="004E1F7E" w:rsidRDefault="00340E1B" w:rsidP="00340E1B">
            <w:pPr>
              <w:tabs>
                <w:tab w:val="left" w:pos="3119"/>
              </w:tabs>
              <w:rPr>
                <w:rStyle w:val="hps"/>
                <w:rFonts w:ascii="Times New Roman" w:hAnsi="Times New Roman" w:cs="Times New Roman"/>
                <w:i/>
                <w:sz w:val="24"/>
                <w:szCs w:val="24"/>
                <w:vertAlign w:val="superscript"/>
                <w:lang w:val="en-US"/>
              </w:rPr>
            </w:pPr>
          </w:p>
        </w:tc>
      </w:tr>
    </w:tbl>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Received in revised form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Accepted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7ABFB1BB" w:rsidR="0050411D" w:rsidRPr="004E108D" w:rsidRDefault="0050411D" w:rsidP="0050411D">
      <w:pPr>
        <w:spacing w:after="0" w:line="288" w:lineRule="auto"/>
        <w:contextualSpacing/>
        <w:jc w:val="center"/>
        <w:rPr>
          <w:rFonts w:ascii="Times New Roman" w:hAnsi="Times New Roman"/>
          <w:sz w:val="24"/>
          <w:lang w:val="en-US"/>
        </w:rPr>
      </w:pPr>
      <w:proofErr w:type="spellStart"/>
      <w:r>
        <w:rPr>
          <w:rFonts w:ascii="Times New Roman" w:hAnsi="Times New Roman"/>
          <w:b/>
          <w:sz w:val="24"/>
          <w:lang w:val="en-US"/>
        </w:rPr>
        <w:t>Abstrak</w:t>
      </w:r>
      <w:proofErr w:type="spellEnd"/>
      <w:r w:rsidR="004E108D">
        <w:rPr>
          <w:rFonts w:ascii="Times New Roman" w:hAnsi="Times New Roman"/>
          <w:b/>
          <w:sz w:val="24"/>
          <w:lang w:val="en-US"/>
        </w:rPr>
        <w:t xml:space="preserve"> </w:t>
      </w:r>
    </w:p>
    <w:p w14:paraId="7EDEF56D" w14:textId="14BEA080" w:rsidR="0050411D" w:rsidRPr="006B103A" w:rsidRDefault="006B103A" w:rsidP="00A02C8E">
      <w:pPr>
        <w:spacing w:after="0" w:line="240" w:lineRule="auto"/>
        <w:contextualSpacing/>
        <w:jc w:val="both"/>
        <w:rPr>
          <w:rFonts w:ascii="Times New Roman" w:hAnsi="Times New Roman" w:cs="Times New Roman"/>
          <w:sz w:val="20"/>
          <w:szCs w:val="20"/>
          <w:lang w:val="en-US"/>
        </w:rPr>
      </w:pPr>
      <w:r w:rsidRPr="006B103A">
        <w:rPr>
          <w:rFonts w:ascii="Times New Roman" w:hAnsi="Times New Roman" w:cs="Times New Roman"/>
          <w:sz w:val="20"/>
          <w:szCs w:val="20"/>
        </w:rPr>
        <w:t xml:space="preserve">Penelitian ini bertujuan untuk mengetahui kesulitan mahasiswa dalam menyelesaikan soal matematika berdasarkan kecerdasan logika matematika. Populasi penelitian ini mahasiswa semester IV Pendidikan Matematika Universitas PGRI Madiun yang berjumlah </w:t>
      </w:r>
      <w:r w:rsidR="000459B8">
        <w:rPr>
          <w:rFonts w:ascii="Times New Roman" w:hAnsi="Times New Roman" w:cs="Times New Roman"/>
          <w:sz w:val="20"/>
          <w:szCs w:val="20"/>
          <w:lang w:val="en-US"/>
        </w:rPr>
        <w:t>45</w:t>
      </w:r>
      <w:r w:rsidRPr="006B103A">
        <w:rPr>
          <w:rFonts w:ascii="Times New Roman" w:hAnsi="Times New Roman" w:cs="Times New Roman"/>
          <w:sz w:val="20"/>
          <w:szCs w:val="20"/>
        </w:rPr>
        <w:t>. Sedangkan subjek penelitian ini adalah 3 mahasiswa yang dipilih berdasarkan kecerdasan logis matematika tinggi, sedang dan rendah. Penelitian ini merupakan penelitian kualitatif deskriptif dengan menggunakan triangulasi. Teknik pengumpulan data yang digunakan adalah tes, wawancara dan dokumentasi. Instrumen berupa tes materi transformasi geometri. teknik analisis data menggunakan Reduksi Data, Penyajian Data, Penarikan Kesimpulan. Kesimpulan pada penelitian ini adalah subjek yang memiliki kecerdasan matemtika tinggi tidak mengalami kesulitan dalam mengerjakan soal, subjek kecerdasan logis matematis sedang kesulitan pada tahap memeriksa kembali jawabannya kembali dan subjek kecerdasan logis matematis rendah kesulitan dalam menyelesaikan soal dengan baik dan belum mampu memeriksa kembali jawabannya.</w:t>
      </w:r>
    </w:p>
    <w:p w14:paraId="4A7A6363" w14:textId="77777777" w:rsidR="00A02C8E" w:rsidRPr="00A02C8E" w:rsidRDefault="00A02C8E" w:rsidP="00A02C8E">
      <w:pPr>
        <w:spacing w:after="0" w:line="240" w:lineRule="auto"/>
        <w:contextualSpacing/>
        <w:jc w:val="both"/>
        <w:rPr>
          <w:rFonts w:ascii="Times New Roman" w:hAnsi="Times New Roman"/>
          <w:sz w:val="20"/>
          <w:lang w:val="en-US"/>
        </w:rPr>
      </w:pPr>
    </w:p>
    <w:p w14:paraId="5443B27E" w14:textId="06BA1BAB" w:rsidR="00071473" w:rsidRPr="000459B8" w:rsidRDefault="0050411D" w:rsidP="00A02C8E">
      <w:pPr>
        <w:spacing w:after="0" w:line="288" w:lineRule="auto"/>
        <w:contextualSpacing/>
        <w:rPr>
          <w:rStyle w:val="hps"/>
          <w:rFonts w:ascii="Times New Roman" w:hAnsi="Times New Roman"/>
          <w:sz w:val="20"/>
          <w:lang w:val="en-US"/>
        </w:rPr>
      </w:pPr>
      <w:r>
        <w:rPr>
          <w:rFonts w:ascii="Times New Roman" w:hAnsi="Times New Roman"/>
          <w:b/>
          <w:sz w:val="20"/>
          <w:lang w:val="en-US"/>
        </w:rPr>
        <w:t xml:space="preserve">Kata </w:t>
      </w:r>
      <w:proofErr w:type="spellStart"/>
      <w:r>
        <w:rPr>
          <w:rFonts w:ascii="Times New Roman" w:hAnsi="Times New Roman"/>
          <w:b/>
          <w:sz w:val="20"/>
          <w:lang w:val="en-US"/>
        </w:rPr>
        <w:t>kunci</w:t>
      </w:r>
      <w:proofErr w:type="spellEnd"/>
      <w:r w:rsidRPr="0050411D">
        <w:rPr>
          <w:rFonts w:ascii="Times New Roman" w:hAnsi="Times New Roman"/>
          <w:sz w:val="20"/>
        </w:rPr>
        <w:t xml:space="preserve">: </w:t>
      </w:r>
      <w:proofErr w:type="spellStart"/>
      <w:r w:rsidR="000459B8">
        <w:rPr>
          <w:rFonts w:ascii="Times New Roman" w:hAnsi="Times New Roman"/>
          <w:sz w:val="20"/>
          <w:lang w:val="en-US"/>
        </w:rPr>
        <w:t>Analisis</w:t>
      </w:r>
      <w:proofErr w:type="spellEnd"/>
      <w:r w:rsidR="000459B8">
        <w:rPr>
          <w:rFonts w:ascii="Times New Roman" w:hAnsi="Times New Roman"/>
          <w:sz w:val="20"/>
          <w:lang w:val="en-US"/>
        </w:rPr>
        <w:t xml:space="preserve"> </w:t>
      </w:r>
      <w:proofErr w:type="spellStart"/>
      <w:r w:rsidR="000459B8">
        <w:rPr>
          <w:rFonts w:ascii="Times New Roman" w:hAnsi="Times New Roman"/>
          <w:sz w:val="20"/>
          <w:lang w:val="en-US"/>
        </w:rPr>
        <w:t>Kesulitan</w:t>
      </w:r>
      <w:proofErr w:type="spellEnd"/>
      <w:r w:rsidR="000459B8">
        <w:rPr>
          <w:rFonts w:ascii="Times New Roman" w:hAnsi="Times New Roman"/>
          <w:sz w:val="20"/>
          <w:lang w:val="en-US"/>
        </w:rPr>
        <w:t xml:space="preserve">, </w:t>
      </w:r>
      <w:proofErr w:type="spellStart"/>
      <w:r w:rsidR="000459B8">
        <w:rPr>
          <w:rFonts w:ascii="Times New Roman" w:hAnsi="Times New Roman"/>
          <w:sz w:val="20"/>
          <w:lang w:val="en-US"/>
        </w:rPr>
        <w:t>Kecerdasan</w:t>
      </w:r>
      <w:proofErr w:type="spellEnd"/>
      <w:r w:rsidR="000459B8">
        <w:rPr>
          <w:rFonts w:ascii="Times New Roman" w:hAnsi="Times New Roman"/>
          <w:sz w:val="20"/>
          <w:lang w:val="en-US"/>
        </w:rPr>
        <w:t xml:space="preserve"> </w:t>
      </w:r>
      <w:proofErr w:type="spellStart"/>
      <w:r w:rsidR="000459B8">
        <w:rPr>
          <w:rFonts w:ascii="Times New Roman" w:hAnsi="Times New Roman"/>
          <w:sz w:val="20"/>
          <w:lang w:val="en-US"/>
        </w:rPr>
        <w:t>Logis</w:t>
      </w:r>
      <w:proofErr w:type="spellEnd"/>
      <w:r w:rsidR="000459B8">
        <w:rPr>
          <w:rFonts w:ascii="Times New Roman" w:hAnsi="Times New Roman"/>
          <w:sz w:val="20"/>
          <w:lang w:val="en-US"/>
        </w:rPr>
        <w:t xml:space="preserve"> </w:t>
      </w:r>
      <w:proofErr w:type="spellStart"/>
      <w:r w:rsidR="000459B8">
        <w:rPr>
          <w:rFonts w:ascii="Times New Roman" w:hAnsi="Times New Roman"/>
          <w:sz w:val="20"/>
          <w:lang w:val="en-US"/>
        </w:rPr>
        <w:t>Matematis</w:t>
      </w:r>
      <w:proofErr w:type="spellEnd"/>
      <w:r w:rsidR="000459B8">
        <w:rPr>
          <w:rFonts w:ascii="Times New Roman" w:hAnsi="Times New Roman"/>
          <w:sz w:val="20"/>
          <w:lang w:val="en-US"/>
        </w:rPr>
        <w:t xml:space="preserve">, </w:t>
      </w:r>
      <w:proofErr w:type="spellStart"/>
      <w:r w:rsidR="000459B8">
        <w:rPr>
          <w:rFonts w:ascii="Times New Roman" w:hAnsi="Times New Roman"/>
          <w:sz w:val="20"/>
          <w:lang w:val="en-US"/>
        </w:rPr>
        <w:t>Transformasi</w:t>
      </w:r>
      <w:proofErr w:type="spellEnd"/>
      <w:r w:rsidR="000459B8">
        <w:rPr>
          <w:rFonts w:ascii="Times New Roman" w:hAnsi="Times New Roman"/>
          <w:sz w:val="20"/>
          <w:lang w:val="en-US"/>
        </w:rPr>
        <w:t xml:space="preserve"> </w:t>
      </w:r>
      <w:proofErr w:type="spellStart"/>
      <w:r w:rsidR="000459B8">
        <w:rPr>
          <w:rFonts w:ascii="Times New Roman" w:hAnsi="Times New Roman"/>
          <w:sz w:val="20"/>
          <w:lang w:val="en-US"/>
        </w:rPr>
        <w:t>Geometri</w:t>
      </w:r>
      <w:proofErr w:type="spellEnd"/>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77777777"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r w:rsidR="004E108D">
        <w:rPr>
          <w:rFonts w:ascii="Times New Roman" w:hAnsi="Times New Roman"/>
          <w:b/>
          <w:i/>
          <w:sz w:val="24"/>
          <w:lang w:val="en-US"/>
        </w:rPr>
        <w:t xml:space="preserve"> </w:t>
      </w:r>
      <w:r w:rsidR="004E108D">
        <w:rPr>
          <w:rFonts w:ascii="Times New Roman" w:hAnsi="Times New Roman"/>
          <w:i/>
          <w:sz w:val="24"/>
          <w:lang w:val="en-US"/>
        </w:rPr>
        <w:t>(12pt)</w:t>
      </w:r>
    </w:p>
    <w:p w14:paraId="7C1B4D40" w14:textId="360FEF9F" w:rsidR="00340E1B" w:rsidRPr="000459B8" w:rsidRDefault="000459B8" w:rsidP="00A02C8E">
      <w:pPr>
        <w:spacing w:after="0" w:line="240" w:lineRule="auto"/>
        <w:contextualSpacing/>
        <w:jc w:val="both"/>
        <w:rPr>
          <w:rFonts w:ascii="Times New Roman" w:hAnsi="Times New Roman"/>
          <w:i/>
          <w:sz w:val="20"/>
          <w:lang w:val="en-US"/>
        </w:rPr>
      </w:pPr>
      <w:r w:rsidRPr="000459B8">
        <w:rPr>
          <w:rFonts w:ascii="Times New Roman" w:hAnsi="Times New Roman"/>
          <w:i/>
          <w:sz w:val="20"/>
        </w:rPr>
        <w:t xml:space="preserve">This study aims to determine the difficulties of students in solving mathematical problems based on mathematical logic intelligence. The population of this research is the fourth-semester students of Mathematics Education, </w:t>
      </w:r>
      <w:proofErr w:type="spellStart"/>
      <w:r w:rsidR="00587928">
        <w:rPr>
          <w:rFonts w:ascii="Times New Roman" w:hAnsi="Times New Roman"/>
          <w:i/>
          <w:sz w:val="20"/>
          <w:lang w:val="en-US"/>
        </w:rPr>
        <w:t>Universitas</w:t>
      </w:r>
      <w:proofErr w:type="spellEnd"/>
      <w:r w:rsidR="00587928">
        <w:rPr>
          <w:rFonts w:ascii="Times New Roman" w:hAnsi="Times New Roman"/>
          <w:i/>
          <w:sz w:val="20"/>
          <w:lang w:val="en-US"/>
        </w:rPr>
        <w:t xml:space="preserve"> </w:t>
      </w:r>
      <w:r w:rsidRPr="000459B8">
        <w:rPr>
          <w:rFonts w:ascii="Times New Roman" w:hAnsi="Times New Roman"/>
          <w:i/>
          <w:sz w:val="20"/>
        </w:rPr>
        <w:t>PGRI Madiun</w:t>
      </w:r>
      <w:r w:rsidR="00587928">
        <w:rPr>
          <w:rFonts w:ascii="Times New Roman" w:hAnsi="Times New Roman"/>
          <w:i/>
          <w:sz w:val="20"/>
        </w:rPr>
        <w:t xml:space="preserve">, </w:t>
      </w:r>
      <w:r w:rsidR="00587928">
        <w:rPr>
          <w:rFonts w:ascii="Times New Roman" w:hAnsi="Times New Roman"/>
          <w:i/>
          <w:sz w:val="20"/>
          <w:lang w:val="en-US"/>
        </w:rPr>
        <w:t>totaling 45 students</w:t>
      </w:r>
      <w:r w:rsidRPr="000459B8">
        <w:rPr>
          <w:rFonts w:ascii="Times New Roman" w:hAnsi="Times New Roman"/>
          <w:i/>
          <w:sz w:val="20"/>
        </w:rPr>
        <w:t>. While the subjects of this study were 3 students who were selected based on high, medium, and low mathematical logical intelligence. This research is descriptive qualitative research using triangulation. Data collection techniques used are tests, interviews, and documentation. The instrument is a geometric transformation material test. data analysis techniques using data reduction, data presentation, conclusion drawing. The conclusion in this study is that subjects who have high mathematical intelligence have no difficulty in working on problems, subjects of logical-mathematical intelligence are having difficulties at the stage of re-examining the answers, and subjects of low mathematical logical intelligence have difficulty in solving problems well and have not been able to re-examine the answers</w:t>
      </w:r>
      <w:r>
        <w:rPr>
          <w:rFonts w:ascii="Times New Roman" w:hAnsi="Times New Roman"/>
          <w:i/>
          <w:sz w:val="20"/>
          <w:lang w:val="en-US"/>
        </w:rPr>
        <w:t>.</w:t>
      </w:r>
    </w:p>
    <w:p w14:paraId="3E6F9C71" w14:textId="77777777" w:rsidR="00A02C8E" w:rsidRPr="00A02C8E" w:rsidRDefault="00A02C8E" w:rsidP="00A02C8E">
      <w:pPr>
        <w:spacing w:after="0" w:line="240" w:lineRule="auto"/>
        <w:contextualSpacing/>
        <w:jc w:val="both"/>
        <w:rPr>
          <w:rFonts w:ascii="Times New Roman" w:hAnsi="Times New Roman"/>
          <w:i/>
          <w:sz w:val="20"/>
          <w:lang w:val="en-US"/>
        </w:rPr>
      </w:pPr>
    </w:p>
    <w:p w14:paraId="5AD16F32" w14:textId="06370841"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0459B8" w:rsidRPr="000459B8">
        <w:rPr>
          <w:rFonts w:ascii="Times New Roman" w:hAnsi="Times New Roman"/>
          <w:i/>
          <w:sz w:val="20"/>
          <w:lang w:val="en-US"/>
        </w:rPr>
        <w:t>Difficulty Analysis, Mathematical Logical Intelligence, Geometric Transformation</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hyperlink r:id="rId10" w:history="1">
        <w:r w:rsidRPr="00732148">
          <w:rPr>
            <w:rStyle w:val="Hyperlink"/>
            <w:rFonts w:ascii="Times New Roman" w:hAnsi="Times New Roman" w:cs="Times New Roman"/>
            <w:sz w:val="18"/>
            <w:szCs w:val="18"/>
            <w:shd w:val="clear" w:color="auto" w:fill="FFFFFF"/>
          </w:rPr>
          <w:t>Creative Commons Attribution 4.0 International License</w:t>
        </w:r>
      </w:hyperlink>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1"/>
          <w:headerReference w:type="default" r:id="rId12"/>
          <w:footerReference w:type="even" r:id="rId13"/>
          <w:type w:val="continuous"/>
          <w:pgSz w:w="11907" w:h="16839" w:code="9"/>
          <w:pgMar w:top="1701" w:right="1701" w:bottom="1701" w:left="1701" w:header="709" w:footer="709" w:gutter="0"/>
          <w:pgNumType w:start="92"/>
          <w:cols w:space="708"/>
          <w:docGrid w:linePitch="360"/>
        </w:sectPr>
      </w:pPr>
    </w:p>
    <w:p w14:paraId="198BA6C7" w14:textId="1A5820D6" w:rsidR="00071473" w:rsidRPr="003945D4" w:rsidRDefault="003945D4" w:rsidP="00071473">
      <w:pPr>
        <w:spacing w:after="0" w:line="288" w:lineRule="auto"/>
        <w:contextualSpacing/>
        <w:rPr>
          <w:rFonts w:ascii="Times New Roman" w:hAnsi="Times New Roman"/>
          <w:sz w:val="24"/>
          <w:lang w:val="en-US"/>
        </w:rPr>
      </w:pPr>
      <w:r>
        <w:rPr>
          <w:rFonts w:ascii="Times New Roman" w:hAnsi="Times New Roman"/>
          <w:b/>
          <w:sz w:val="24"/>
          <w:lang w:val="en-US"/>
        </w:rPr>
        <w:lastRenderedPageBreak/>
        <w:t>INTRODUCTION</w:t>
      </w:r>
    </w:p>
    <w:p w14:paraId="73626190"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 xml:space="preserve">On January 30, 2020, WHO declared it a global health emergency (Cucinotta &amp; Vanelli, 2020; Lloyd-Sherlock et al., 2020; Mahase, 2020; </w:t>
      </w:r>
      <w:r w:rsidRPr="003945D4">
        <w:rPr>
          <w:rFonts w:ascii="Times New Roman" w:hAnsi="Times New Roman"/>
          <w:sz w:val="24"/>
          <w:lang w:val="en-US"/>
        </w:rPr>
        <w:lastRenderedPageBreak/>
        <w:t>Sohrabi et al., 2020; Watkins, 2020)</w:t>
      </w:r>
      <w:proofErr w:type="gramStart"/>
      <w:r w:rsidRPr="003945D4">
        <w:rPr>
          <w:rFonts w:ascii="Times New Roman" w:hAnsi="Times New Roman"/>
          <w:sz w:val="24"/>
          <w:lang w:val="en-US"/>
        </w:rPr>
        <w:t>.</w:t>
      </w:r>
      <w:proofErr w:type="gramEnd"/>
      <w:r w:rsidRPr="003945D4">
        <w:rPr>
          <w:rFonts w:ascii="Times New Roman" w:hAnsi="Times New Roman"/>
          <w:sz w:val="24"/>
          <w:lang w:val="en-US"/>
        </w:rPr>
        <w:t xml:space="preserve"> Countries that have contracted COVID 19 and experienced many deaths have reached more than 200 countries (Shereen et al., 2020; Wahyono et al., </w:t>
      </w:r>
      <w:r w:rsidRPr="003945D4">
        <w:rPr>
          <w:rFonts w:ascii="Times New Roman" w:hAnsi="Times New Roman"/>
          <w:sz w:val="24"/>
          <w:lang w:val="en-US"/>
        </w:rPr>
        <w:lastRenderedPageBreak/>
        <w:t>2020; Worldometers, 2020; Zhao et al., 2020). This is a very big health threat for people in the world. One of the countries that have a vulnerable health system is the Republic of Indonesia (Sohrabi et al., 2020). This affects policy changes and reforms to be implemented including the education sector (Anderson, 2020; Azzi-Huck &amp; Shmis, 2020; Cucinotta &amp; Vanelli, 2020; Horn, 2020; Huang et al., 2020; OSPI, 2020; Sohrabi et al. al., 2020; US Department of Health and Environmental Control, 2019; Yan, 2020; J. Zhang et al., 2020).</w:t>
      </w:r>
    </w:p>
    <w:p w14:paraId="2045BA70"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Policies in the world of education change learning that has to come to class or a building, in this case, the campus, to just stay at home. The government's recommendation to stay at home and physical and social distancing must be followed by changing the face-to-face learning mode to online (Aderholt, 2020; Karp, P., &amp; McGowan, 2020; UNESCO, 2020a). One way that the government has taken to prevent its spread is through a circular letter from the Ministry of Education and Culture of the Directorate of Higher Education No. 1 of 2020 regarding the prevention of the spread of Corona Virus Disease (Covid-19) in universities.</w:t>
      </w:r>
    </w:p>
    <w:p w14:paraId="2E0E2E89"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 xml:space="preserve">One of the universities that follow these regulations is Universitas PGRI Madiun. Since April 2020, this campus has started implementing Study from Home to replace face-to-face lectures in class. The implementation of the SFH requires lecturers at Universitas PGRI Madiun to carry out online learning as </w:t>
      </w:r>
      <w:r w:rsidRPr="003945D4">
        <w:rPr>
          <w:rFonts w:ascii="Times New Roman" w:hAnsi="Times New Roman"/>
          <w:sz w:val="24"/>
          <w:lang w:val="en-US"/>
        </w:rPr>
        <w:lastRenderedPageBreak/>
        <w:t xml:space="preserve">an alternative to face-to-face lectures. Even though it is carried out online, learning must still be able to increase student interest in following it. E-learning is the use of information and communication technology in the teaching and learning process (Hasan, 2017; Mutuchamy &amp; Thiyagu, 2011; Rosenberg &amp; Foshay, 2002; Setiawan et al., 2019; </w:t>
      </w:r>
      <w:proofErr w:type="spellStart"/>
      <w:r w:rsidRPr="003945D4">
        <w:rPr>
          <w:rFonts w:ascii="Times New Roman" w:hAnsi="Times New Roman"/>
          <w:sz w:val="24"/>
          <w:lang w:val="en-US"/>
        </w:rPr>
        <w:t>Setyoningsih</w:t>
      </w:r>
      <w:proofErr w:type="spellEnd"/>
      <w:r w:rsidRPr="003945D4">
        <w:rPr>
          <w:rFonts w:ascii="Times New Roman" w:hAnsi="Times New Roman"/>
          <w:sz w:val="24"/>
          <w:lang w:val="en-US"/>
        </w:rPr>
        <w:t xml:space="preserve">, 2015; </w:t>
      </w:r>
      <w:proofErr w:type="spellStart"/>
      <w:r w:rsidRPr="003945D4">
        <w:rPr>
          <w:rFonts w:ascii="Times New Roman" w:hAnsi="Times New Roman"/>
          <w:sz w:val="24"/>
          <w:lang w:val="en-US"/>
        </w:rPr>
        <w:t>Setiaji</w:t>
      </w:r>
      <w:proofErr w:type="spellEnd"/>
      <w:r w:rsidRPr="003945D4">
        <w:rPr>
          <w:rFonts w:ascii="Times New Roman" w:hAnsi="Times New Roman"/>
          <w:sz w:val="24"/>
          <w:lang w:val="en-US"/>
        </w:rPr>
        <w:t>, 2020). E-learning is one of the newest learning models in the world of education that is able to overcome the limitations of space which have been the weakness of conventional learning models (Hasan, 2017).</w:t>
      </w:r>
    </w:p>
    <w:p w14:paraId="711BFB0F"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There are so many e-learning platforms that can be accessed by both lecturers and students. SEVIMA Edlink, Moodle, Edmodo, Schoology, Google Classroom are examples of e-learning platforms that provide LMS (Learning Management System) facilities. LMS is a system that provides information and communication technology-based classes that can be filled by lecturers with materials, assignments, learning resources, and others (Shawar &amp; Al-Sadi, 2010). This system also facilitates communication between lecturers and students. In addition, there is also Zoom, Google Meet, Skype which can be used for video conferencing.</w:t>
      </w:r>
    </w:p>
    <w:p w14:paraId="597B5E9E"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 xml:space="preserve">Universitas PGRI Madiun has its own e-learning with the name UNIPMA e-learning. Unipma's e-learning also provides LMS facilities. In this facility, lecturers can hold meetings via zoom, can provide material in the form of videos and PPT, discuss directly either </w:t>
      </w:r>
      <w:r w:rsidRPr="003945D4">
        <w:rPr>
          <w:rFonts w:ascii="Times New Roman" w:hAnsi="Times New Roman"/>
          <w:sz w:val="24"/>
          <w:lang w:val="en-US"/>
        </w:rPr>
        <w:lastRenderedPageBreak/>
        <w:t>individually or in groups, give assignments, and several other facilities. The benefits of using UNIPMA E-learning include: (1) easy preparation, lecturers can easily share class codes, (2) effective time, lecturers can quickly create, check and assess student assignments without paper, (3) better organization, students can be more organized in organizing assignments and materials they get from Google Classroom, (4) Good communication, with discussion forums lecturers and students can easily make announcements or ask questions.</w:t>
      </w:r>
    </w:p>
    <w:p w14:paraId="6CE9AA17"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Although broadly speaking, UNIPMA's e-learning can provide many benefits and can overcome learning during a pandemic. However, the learning outcomes through UNIPMA's e-learning are not optimal. This can be seen from the results of students who are still under 60. This low score indicates difficulties in working on the questions. To find out students' difficulties and their causal factors, it focused on things caused by errors resulting from difficulties in using facts, skills, understanding concepts, and applying principles in solving national exam questions.</w:t>
      </w:r>
    </w:p>
    <w:p w14:paraId="5B2F1443"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 xml:space="preserve">As stated by learning theorist, Gagne (Bell, 1981), has divided mathematical objects, namely the material that students learn into direct objects and indirect objects. The direct objects are facts, skills, concepts, and principles. Concepts in mathematics are organized systematically, logically, and hierarchically from the simplest to the </w:t>
      </w:r>
      <w:r w:rsidRPr="003945D4">
        <w:rPr>
          <w:rFonts w:ascii="Times New Roman" w:hAnsi="Times New Roman"/>
          <w:sz w:val="24"/>
          <w:lang w:val="en-US"/>
        </w:rPr>
        <w:lastRenderedPageBreak/>
        <w:t>complex. Understanding and mastering a new material/concept is a reconstruction and application of knowledge concepts previously learned by students (Romberg &amp; Kaput, 2009; Rose &amp; Arline, 2009; Goos, Stillman &amp; Vale, 2007; Ben-Zvi &amp; Hofstein, 1996; Skemp , 1971; Polya, 1981). Furthermore, a person is said to understand mathematics if he is able to explain mathematical concepts and facts in a simple form and is able to connect them logically between different facts and concepts (Alfeld, 2004; Dowker, 2004; Romberg &amp; Shafer, 2007; Bynner &amp; Parsons, 1997). ; Cawley, 1985) Several studies have stated that the causes of students' mathematical difficulties are due to arithmetic errors, incorrect procedures, counting, and reading skills (Lewis, Hitch &amp; Walker, 1994; Gross-Tsur, Manor &amp; Shalev, 1996; Bzufka, Hein &amp; Neumarker). , 2000, Jane &amp; Zakaria, 2012).</w:t>
      </w:r>
    </w:p>
    <w:p w14:paraId="38293B5C"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 xml:space="preserve">In another study, it was stated that there are two kinds of difficulties related to inequalities, namely arithmetic difficulties and lack of meaning and the effect of mathematical symbolization on students' performance in translating problems in making mathematical equations (Luna &amp; Fuscablo, 2002; Blanco &amp; Garrote, 2007). Bell (1981) said that the difficulty of mathematics in solving mathematical problems, one of which was caused by the difficulty of reading the mathematical problems faced. Students tend to be able to read mathematics directly from books but are unable to understand what they read. </w:t>
      </w:r>
      <w:r w:rsidRPr="003945D4">
        <w:rPr>
          <w:rFonts w:ascii="Times New Roman" w:hAnsi="Times New Roman"/>
          <w:sz w:val="24"/>
          <w:lang w:val="en-US"/>
        </w:rPr>
        <w:lastRenderedPageBreak/>
        <w:t xml:space="preserve">Bell (1981) suggests that the best way to identify the causes of student difficulty is to ask students to read the math problem aloud and then ask students to interpret it sentence by sentence. One of the subjects that students feel is having difficulty with is Advanced Mathematical Studies. </w:t>
      </w:r>
    </w:p>
    <w:p w14:paraId="20D71D47"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Advanced Mathematical Studies is a course given in the semester. In this course, broadly speaking, the material studied is not far from high school / vocational / MA material such as circular equations, linear programs, limits, geometric transformations, etc. Although it has been studied before, there are still many students who have difficulty in solving these problems. This is also influenced by the school background of previous students who came from vocational schools where not all Mathematics subject matter was given. So that from different backgrounds it also shows that the level of intelligence in mathematical logic is also different.</w:t>
      </w:r>
    </w:p>
    <w:p w14:paraId="778AF2FF" w14:textId="77777777" w:rsidR="00A571AE" w:rsidRPr="003945D4" w:rsidRDefault="00A571AE" w:rsidP="00A571AE">
      <w:pPr>
        <w:pBdr>
          <w:top w:val="nil"/>
          <w:left w:val="nil"/>
          <w:bottom w:val="nil"/>
          <w:right w:val="nil"/>
          <w:between w:val="nil"/>
        </w:pBdr>
        <w:ind w:firstLine="567"/>
        <w:jc w:val="both"/>
        <w:rPr>
          <w:rFonts w:ascii="Times New Roman" w:hAnsi="Times New Roman"/>
          <w:sz w:val="24"/>
          <w:lang w:val="en-US"/>
        </w:rPr>
      </w:pPr>
      <w:r w:rsidRPr="003945D4">
        <w:rPr>
          <w:rFonts w:ascii="Times New Roman" w:hAnsi="Times New Roman"/>
          <w:sz w:val="24"/>
          <w:lang w:val="en-US"/>
        </w:rPr>
        <w:t xml:space="preserve">Lwin (2008) explains that, logical-mathematical intelligence is "the ability to handle numbers and calculations, patterns, and logical and scientific thinking". Someone who has logical-mathematical intelligence will be able to make classifications of information, compare information and strategies to solve problems correctly, process numbers, and use inductive and deductive thinking in solving problems. This is in accordance with the opinion of Willis and Johnson (2001) who revealed that logical-mathematical </w:t>
      </w:r>
      <w:r w:rsidRPr="003945D4">
        <w:rPr>
          <w:rFonts w:ascii="Times New Roman" w:hAnsi="Times New Roman"/>
          <w:sz w:val="24"/>
          <w:lang w:val="en-US"/>
        </w:rPr>
        <w:lastRenderedPageBreak/>
        <w:t>intelligence has 5 main components, namely classification, comparing, mathematical arithmetic operations, inductive and deductive reasoning, as well as forming hypotheses and re-checking the hypotheses that have been made. Yaumi (2012) states that someone who can solve problems easily means that person has logical-mathematical intelligence. Thus, logical-mathematical intelligence can be used by students in solving mathematical problems so that the objectives of learning mathematics can be achieved optimally.</w:t>
      </w:r>
    </w:p>
    <w:p w14:paraId="7FBC3C4D" w14:textId="28992869" w:rsidR="00A571AE" w:rsidRPr="003945D4" w:rsidRDefault="00A571AE" w:rsidP="00A571AE">
      <w:pPr>
        <w:autoSpaceDE w:val="0"/>
        <w:autoSpaceDN w:val="0"/>
        <w:adjustRightInd w:val="0"/>
        <w:spacing w:after="0" w:line="240" w:lineRule="auto"/>
        <w:ind w:firstLine="567"/>
        <w:jc w:val="both"/>
        <w:rPr>
          <w:rFonts w:ascii="Times New Roman" w:hAnsi="Times New Roman"/>
          <w:sz w:val="24"/>
          <w:lang w:val="en-US"/>
        </w:rPr>
      </w:pPr>
      <w:r w:rsidRPr="003945D4">
        <w:rPr>
          <w:rFonts w:ascii="Times New Roman" w:hAnsi="Times New Roman"/>
          <w:sz w:val="24"/>
          <w:lang w:val="en-US"/>
        </w:rPr>
        <w:t>Researchers have conducted research related to mathematical logic intelligence, this study analyzes students' adaptive abilities in terms of mathematical logic. In this study, the researcher also investigated mathematical logic, but the analysis carried out was to analyze student difficulties in terms of mathematical logic. Analysis of this difficulty, the researcher intends to analyze the difficulties of students in solving advanced mathematics problems when learning is carried out through UNIPMA e-learning.</w:t>
      </w:r>
    </w:p>
    <w:p w14:paraId="58DF3A08" w14:textId="16AFFCB8" w:rsidR="00075288" w:rsidRDefault="003A2532" w:rsidP="00D10062">
      <w:pPr>
        <w:autoSpaceDE w:val="0"/>
        <w:autoSpaceDN w:val="0"/>
        <w:adjustRightInd w:val="0"/>
        <w:spacing w:after="0" w:line="240" w:lineRule="auto"/>
        <w:ind w:firstLine="426"/>
        <w:jc w:val="both"/>
        <w:rPr>
          <w:rFonts w:ascii="Times New Roman" w:hAnsi="Times New Roman" w:cs="Times New Roman"/>
          <w:sz w:val="24"/>
          <w:lang w:val="en-US"/>
        </w:rPr>
      </w:pPr>
      <w:r>
        <w:rPr>
          <w:rFonts w:ascii="Times New Roman" w:hAnsi="Times New Roman" w:cs="Times New Roman"/>
          <w:sz w:val="24"/>
          <w:lang w:val="en-US"/>
        </w:rPr>
        <w:t xml:space="preserve"> </w:t>
      </w:r>
    </w:p>
    <w:p w14:paraId="06C227BE" w14:textId="77777777" w:rsidR="00BE455A" w:rsidRPr="00D10062" w:rsidRDefault="00BE455A" w:rsidP="00071473">
      <w:pPr>
        <w:spacing w:after="0" w:line="288" w:lineRule="auto"/>
        <w:contextualSpacing/>
        <w:jc w:val="both"/>
        <w:rPr>
          <w:rFonts w:ascii="Times New Roman" w:hAnsi="Times New Roman"/>
          <w:b/>
          <w:sz w:val="24"/>
          <w:szCs w:val="24"/>
          <w:lang w:val="en-US"/>
        </w:rPr>
      </w:pPr>
    </w:p>
    <w:p w14:paraId="617B478A" w14:textId="17231A3A" w:rsidR="00071473" w:rsidRPr="003945D4" w:rsidRDefault="003945D4" w:rsidP="00AE27D4">
      <w:pPr>
        <w:spacing w:after="0" w:line="288" w:lineRule="auto"/>
        <w:contextualSpacing/>
        <w:rPr>
          <w:rFonts w:ascii="Times New Roman" w:hAnsi="Times New Roman"/>
          <w:b/>
          <w:sz w:val="24"/>
          <w:lang w:val="en-US"/>
        </w:rPr>
      </w:pPr>
      <w:r>
        <w:rPr>
          <w:rFonts w:ascii="Times New Roman" w:hAnsi="Times New Roman"/>
          <w:b/>
          <w:sz w:val="24"/>
          <w:lang w:val="en-US"/>
        </w:rPr>
        <w:t>METHOD</w:t>
      </w:r>
    </w:p>
    <w:p w14:paraId="378C8C83" w14:textId="77777777" w:rsidR="003945D4" w:rsidRPr="003945D4" w:rsidRDefault="003945D4" w:rsidP="003945D4">
      <w:pPr>
        <w:pBdr>
          <w:top w:val="nil"/>
          <w:left w:val="nil"/>
          <w:bottom w:val="nil"/>
          <w:right w:val="nil"/>
          <w:between w:val="nil"/>
        </w:pBdr>
        <w:ind w:firstLine="567"/>
        <w:jc w:val="both"/>
        <w:rPr>
          <w:rFonts w:ascii="Times New Roman" w:hAnsi="Times New Roman" w:cs="Times New Roman"/>
          <w:sz w:val="24"/>
          <w:lang w:val="en-US"/>
        </w:rPr>
      </w:pPr>
      <w:r w:rsidRPr="003945D4">
        <w:rPr>
          <w:rFonts w:ascii="Times New Roman" w:hAnsi="Times New Roman" w:cs="Times New Roman"/>
          <w:sz w:val="24"/>
          <w:lang w:val="en-US"/>
        </w:rPr>
        <w:t xml:space="preserve">This research was conducted at the Universitas PGRI Madiun. The research subjects were students of the sixth semester of mathematics education who took the Advanced Mathematics Studies course. The study was conducted in the even semester during the Study from Home period due to the COVID-19 pandemic. The online </w:t>
      </w:r>
      <w:r w:rsidRPr="003945D4">
        <w:rPr>
          <w:rFonts w:ascii="Times New Roman" w:hAnsi="Times New Roman" w:cs="Times New Roman"/>
          <w:sz w:val="24"/>
          <w:lang w:val="en-US"/>
        </w:rPr>
        <w:lastRenderedPageBreak/>
        <w:t>application used in this course is UNIPMA e-learning.</w:t>
      </w:r>
    </w:p>
    <w:p w14:paraId="25F76212" w14:textId="77777777" w:rsidR="003945D4" w:rsidRPr="003945D4" w:rsidRDefault="003945D4" w:rsidP="003945D4">
      <w:pPr>
        <w:pBdr>
          <w:top w:val="nil"/>
          <w:left w:val="nil"/>
          <w:bottom w:val="nil"/>
          <w:right w:val="nil"/>
          <w:between w:val="nil"/>
        </w:pBdr>
        <w:ind w:firstLine="567"/>
        <w:jc w:val="both"/>
        <w:rPr>
          <w:rFonts w:ascii="Times New Roman" w:hAnsi="Times New Roman" w:cs="Times New Roman"/>
          <w:sz w:val="24"/>
          <w:lang w:val="en-US"/>
        </w:rPr>
      </w:pPr>
      <w:r w:rsidRPr="003945D4">
        <w:rPr>
          <w:rFonts w:ascii="Times New Roman" w:hAnsi="Times New Roman" w:cs="Times New Roman"/>
          <w:sz w:val="24"/>
          <w:lang w:val="en-US"/>
        </w:rPr>
        <w:t>This research is descriptive qualitative research. Descriptive qualitative research is research that aims to describe the phenomena that occur in the research subject in depth. In this study, the phenomena observed and will be described are the difficulties faced by students in solving Advanced Mathematics Studies questions when participating in learning through UNIPMA E-Learning.</w:t>
      </w:r>
    </w:p>
    <w:p w14:paraId="1E7A1645" w14:textId="77777777" w:rsidR="003945D4" w:rsidRPr="003945D4" w:rsidRDefault="003945D4" w:rsidP="003945D4">
      <w:pPr>
        <w:pBdr>
          <w:top w:val="nil"/>
          <w:left w:val="nil"/>
          <w:bottom w:val="nil"/>
          <w:right w:val="nil"/>
          <w:between w:val="nil"/>
        </w:pBdr>
        <w:ind w:firstLine="567"/>
        <w:jc w:val="both"/>
        <w:rPr>
          <w:rFonts w:ascii="Times New Roman" w:hAnsi="Times New Roman" w:cs="Times New Roman"/>
          <w:sz w:val="24"/>
          <w:lang w:val="en-US"/>
        </w:rPr>
      </w:pPr>
      <w:r w:rsidRPr="003945D4">
        <w:rPr>
          <w:rFonts w:ascii="Times New Roman" w:hAnsi="Times New Roman" w:cs="Times New Roman"/>
          <w:sz w:val="24"/>
          <w:lang w:val="en-US"/>
        </w:rPr>
        <w:t>The population of this study was the fourth-semester students of Mathematics education at the Universitas PGRI Madiun totaling 52 students. The sample was chosen by 3 students who had high, medium, and low criteria of mathematical logical intelligence. The instruments in this study were advanced mathematics study questions in the form of essays and multiple-choice mathematical logic intelligence tests.</w:t>
      </w:r>
    </w:p>
    <w:p w14:paraId="772FA5A9" w14:textId="4CB524B7" w:rsidR="00071473" w:rsidRPr="003945D4" w:rsidRDefault="003945D4" w:rsidP="003945D4">
      <w:pPr>
        <w:spacing w:after="0" w:line="240" w:lineRule="auto"/>
        <w:ind w:firstLine="567"/>
        <w:contextualSpacing/>
        <w:jc w:val="both"/>
        <w:rPr>
          <w:rFonts w:ascii="Times New Roman" w:hAnsi="Times New Roman" w:cs="Times New Roman"/>
          <w:sz w:val="24"/>
          <w:lang w:val="en-US"/>
        </w:rPr>
      </w:pPr>
      <w:r w:rsidRPr="003945D4">
        <w:rPr>
          <w:rFonts w:ascii="Times New Roman" w:hAnsi="Times New Roman" w:cs="Times New Roman"/>
          <w:sz w:val="24"/>
          <w:lang w:val="en-US"/>
        </w:rPr>
        <w:t>The validity of the data in this study using triangulation techniques. Technical triangulation is a technique used to test the credibility of data by checking data on the same source with different techniques (Sugiyono, 2013). The data that has been obtained from the test technique is checked again with interviews to ensure the data obtained are truly valid. The data analysis technique uses data reduction, data display, concluding drawing (Sugiyono, 2013).</w:t>
      </w:r>
    </w:p>
    <w:p w14:paraId="79F335E8" w14:textId="77777777" w:rsidR="00D10062" w:rsidRDefault="00D10062" w:rsidP="00071473">
      <w:pPr>
        <w:spacing w:after="0" w:line="288" w:lineRule="auto"/>
        <w:contextualSpacing/>
        <w:rPr>
          <w:rFonts w:ascii="Times New Roman" w:hAnsi="Times New Roman" w:cs="Times New Roman"/>
          <w:b/>
          <w:sz w:val="24"/>
          <w:lang w:val="en-US"/>
        </w:rPr>
      </w:pPr>
    </w:p>
    <w:p w14:paraId="637BFC9C" w14:textId="7596116C" w:rsidR="00071473" w:rsidRPr="003945D4" w:rsidRDefault="003945D4" w:rsidP="00AE27D4">
      <w:pPr>
        <w:spacing w:after="0" w:line="288" w:lineRule="auto"/>
        <w:contextualSpacing/>
        <w:rPr>
          <w:rFonts w:ascii="Times New Roman" w:hAnsi="Times New Roman"/>
          <w:b/>
          <w:sz w:val="24"/>
          <w:lang w:val="en-US"/>
        </w:rPr>
      </w:pPr>
      <w:r>
        <w:rPr>
          <w:rFonts w:ascii="Times New Roman" w:hAnsi="Times New Roman"/>
          <w:b/>
          <w:sz w:val="24"/>
          <w:lang w:val="en-US"/>
        </w:rPr>
        <w:t>RESULT</w:t>
      </w:r>
    </w:p>
    <w:p w14:paraId="713CF508"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lastRenderedPageBreak/>
        <w:t>Based on the score of the mathematical logic ability test, 3 subjects were selected consisting of 1 subject with high logical-mathematical intelligence, 1 subject with moderate logical-mathematical intelligence, and 1 subject with low logical-mathematical intelligence. The score of the logical-mathematical intelligence questionnaire can be seen in Table 3.</w:t>
      </w:r>
    </w:p>
    <w:p w14:paraId="4DA4D1EF" w14:textId="77777777" w:rsidR="003945D4" w:rsidRPr="003945D4" w:rsidRDefault="003945D4" w:rsidP="000B18DB">
      <w:pPr>
        <w:pBdr>
          <w:top w:val="nil"/>
          <w:left w:val="nil"/>
          <w:bottom w:val="nil"/>
          <w:right w:val="nil"/>
          <w:between w:val="nil"/>
        </w:pBdr>
        <w:spacing w:before="120" w:after="120"/>
        <w:jc w:val="center"/>
        <w:rPr>
          <w:rFonts w:ascii="Times New Roman" w:hAnsi="Times New Roman"/>
          <w:sz w:val="24"/>
          <w:lang w:val="en-US"/>
        </w:rPr>
      </w:pPr>
      <w:proofErr w:type="gramStart"/>
      <w:r w:rsidRPr="003945D4">
        <w:rPr>
          <w:rFonts w:ascii="Times New Roman" w:hAnsi="Times New Roman"/>
          <w:sz w:val="24"/>
          <w:lang w:val="en-US"/>
        </w:rPr>
        <w:t>Table :</w:t>
      </w:r>
      <w:proofErr w:type="gramEnd"/>
      <w:r w:rsidRPr="003945D4">
        <w:rPr>
          <w:rFonts w:ascii="Times New Roman" w:hAnsi="Times New Roman"/>
          <w:sz w:val="24"/>
          <w:lang w:val="en-US"/>
        </w:rPr>
        <w:t xml:space="preserve"> Logical Mathematical Ability Data</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86"/>
        <w:gridCol w:w="2300"/>
        <w:gridCol w:w="828"/>
      </w:tblGrid>
      <w:tr w:rsidR="003945D4" w:rsidRPr="003945D4" w14:paraId="49307027" w14:textId="77777777" w:rsidTr="000D6E5D">
        <w:trPr>
          <w:jc w:val="center"/>
        </w:trPr>
        <w:tc>
          <w:tcPr>
            <w:tcW w:w="1413" w:type="dxa"/>
          </w:tcPr>
          <w:p w14:paraId="4716A8BF" w14:textId="77777777" w:rsidR="003945D4" w:rsidRPr="003945D4" w:rsidRDefault="003945D4" w:rsidP="003945D4">
            <w:pPr>
              <w:pStyle w:val="NormalWeb"/>
              <w:spacing w:before="0" w:beforeAutospacing="0" w:after="0" w:afterAutospacing="0"/>
              <w:jc w:val="center"/>
              <w:rPr>
                <w:rFonts w:eastAsiaTheme="minorHAnsi" w:cstheme="minorBidi"/>
                <w:szCs w:val="22"/>
              </w:rPr>
            </w:pPr>
            <w:r w:rsidRPr="003945D4">
              <w:rPr>
                <w:rFonts w:eastAsiaTheme="minorHAnsi" w:cstheme="minorBidi"/>
                <w:szCs w:val="22"/>
              </w:rPr>
              <w:t>Name</w:t>
            </w:r>
          </w:p>
        </w:tc>
        <w:tc>
          <w:tcPr>
            <w:tcW w:w="4250" w:type="dxa"/>
          </w:tcPr>
          <w:p w14:paraId="4B5488F1" w14:textId="77777777" w:rsidR="003945D4" w:rsidRPr="003945D4" w:rsidRDefault="003945D4" w:rsidP="003945D4">
            <w:pPr>
              <w:pStyle w:val="NormalWeb"/>
              <w:spacing w:before="0" w:beforeAutospacing="0" w:after="0" w:afterAutospacing="0"/>
              <w:jc w:val="center"/>
              <w:rPr>
                <w:rFonts w:eastAsiaTheme="minorHAnsi" w:cstheme="minorBidi"/>
                <w:szCs w:val="22"/>
              </w:rPr>
            </w:pPr>
            <w:r w:rsidRPr="003945D4">
              <w:rPr>
                <w:rFonts w:eastAsiaTheme="minorHAnsi" w:cstheme="minorBidi"/>
                <w:szCs w:val="22"/>
              </w:rPr>
              <w:t>Category Logical Mathematical Ability</w:t>
            </w:r>
          </w:p>
        </w:tc>
        <w:tc>
          <w:tcPr>
            <w:tcW w:w="995" w:type="dxa"/>
          </w:tcPr>
          <w:p w14:paraId="0516726D" w14:textId="77777777" w:rsidR="003945D4" w:rsidRPr="003945D4" w:rsidRDefault="003945D4" w:rsidP="003945D4">
            <w:pPr>
              <w:pStyle w:val="NormalWeb"/>
              <w:spacing w:before="0" w:beforeAutospacing="0" w:after="0" w:afterAutospacing="0"/>
              <w:jc w:val="center"/>
              <w:rPr>
                <w:rFonts w:eastAsiaTheme="minorHAnsi" w:cstheme="minorBidi"/>
                <w:szCs w:val="22"/>
              </w:rPr>
            </w:pPr>
            <w:r w:rsidRPr="003945D4">
              <w:rPr>
                <w:rFonts w:eastAsiaTheme="minorHAnsi" w:cstheme="minorBidi"/>
                <w:szCs w:val="22"/>
              </w:rPr>
              <w:t>Score</w:t>
            </w:r>
          </w:p>
        </w:tc>
      </w:tr>
      <w:tr w:rsidR="003945D4" w:rsidRPr="003945D4" w14:paraId="108E16E6" w14:textId="77777777" w:rsidTr="000D6E5D">
        <w:trPr>
          <w:jc w:val="center"/>
        </w:trPr>
        <w:tc>
          <w:tcPr>
            <w:tcW w:w="1413" w:type="dxa"/>
          </w:tcPr>
          <w:p w14:paraId="624B569E" w14:textId="77777777" w:rsidR="003945D4" w:rsidRPr="003945D4" w:rsidRDefault="003945D4" w:rsidP="000D6E5D">
            <w:pPr>
              <w:pStyle w:val="NormalWeb"/>
              <w:spacing w:before="0" w:beforeAutospacing="0" w:after="0" w:afterAutospacing="0"/>
              <w:rPr>
                <w:rFonts w:eastAsiaTheme="minorHAnsi" w:cstheme="minorBidi"/>
                <w:szCs w:val="22"/>
              </w:rPr>
            </w:pPr>
            <w:r w:rsidRPr="003945D4">
              <w:rPr>
                <w:rFonts w:eastAsiaTheme="minorHAnsi" w:cstheme="minorBidi"/>
                <w:szCs w:val="22"/>
              </w:rPr>
              <w:t>YEP</w:t>
            </w:r>
          </w:p>
        </w:tc>
        <w:tc>
          <w:tcPr>
            <w:tcW w:w="4250" w:type="dxa"/>
          </w:tcPr>
          <w:p w14:paraId="7F46CC0D" w14:textId="77777777" w:rsidR="003945D4" w:rsidRPr="003945D4" w:rsidRDefault="003945D4" w:rsidP="000D6E5D">
            <w:pPr>
              <w:pStyle w:val="NormalWeb"/>
              <w:spacing w:before="0" w:beforeAutospacing="0" w:after="0" w:afterAutospacing="0"/>
              <w:rPr>
                <w:rFonts w:eastAsiaTheme="minorHAnsi" w:cstheme="minorBidi"/>
                <w:szCs w:val="22"/>
              </w:rPr>
            </w:pPr>
            <w:r w:rsidRPr="003945D4">
              <w:rPr>
                <w:rFonts w:eastAsiaTheme="minorHAnsi" w:cstheme="minorBidi"/>
                <w:szCs w:val="22"/>
              </w:rPr>
              <w:t>High</w:t>
            </w:r>
          </w:p>
        </w:tc>
        <w:tc>
          <w:tcPr>
            <w:tcW w:w="995" w:type="dxa"/>
          </w:tcPr>
          <w:p w14:paraId="5A0F1B10" w14:textId="77777777" w:rsidR="003945D4" w:rsidRPr="003945D4" w:rsidRDefault="003945D4" w:rsidP="000D6E5D">
            <w:pPr>
              <w:pStyle w:val="NormalWeb"/>
              <w:spacing w:before="0" w:beforeAutospacing="0" w:after="0" w:afterAutospacing="0"/>
              <w:jc w:val="center"/>
              <w:rPr>
                <w:rFonts w:eastAsiaTheme="minorHAnsi" w:cstheme="minorBidi"/>
                <w:szCs w:val="22"/>
              </w:rPr>
            </w:pPr>
            <w:r w:rsidRPr="003945D4">
              <w:rPr>
                <w:rFonts w:eastAsiaTheme="minorHAnsi" w:cstheme="minorBidi"/>
                <w:szCs w:val="22"/>
              </w:rPr>
              <w:t>83</w:t>
            </w:r>
          </w:p>
        </w:tc>
      </w:tr>
      <w:tr w:rsidR="003945D4" w:rsidRPr="003945D4" w14:paraId="75B000A0" w14:textId="77777777" w:rsidTr="000D6E5D">
        <w:trPr>
          <w:jc w:val="center"/>
        </w:trPr>
        <w:tc>
          <w:tcPr>
            <w:tcW w:w="1413" w:type="dxa"/>
          </w:tcPr>
          <w:p w14:paraId="3611201D" w14:textId="77777777" w:rsidR="003945D4" w:rsidRPr="003945D4" w:rsidRDefault="003945D4" w:rsidP="000D6E5D">
            <w:pPr>
              <w:pStyle w:val="NormalWeb"/>
              <w:spacing w:before="0" w:beforeAutospacing="0" w:after="0" w:afterAutospacing="0"/>
              <w:ind w:left="29"/>
              <w:jc w:val="both"/>
              <w:rPr>
                <w:rFonts w:eastAsiaTheme="minorHAnsi" w:cstheme="minorBidi"/>
                <w:szCs w:val="22"/>
              </w:rPr>
            </w:pPr>
            <w:r w:rsidRPr="003945D4">
              <w:rPr>
                <w:rFonts w:eastAsiaTheme="minorHAnsi" w:cstheme="minorBidi"/>
                <w:szCs w:val="22"/>
              </w:rPr>
              <w:t>MPW</w:t>
            </w:r>
          </w:p>
        </w:tc>
        <w:tc>
          <w:tcPr>
            <w:tcW w:w="4250" w:type="dxa"/>
          </w:tcPr>
          <w:p w14:paraId="4A09D8F8" w14:textId="77777777" w:rsidR="003945D4" w:rsidRPr="003945D4" w:rsidRDefault="003945D4" w:rsidP="000D6E5D">
            <w:pPr>
              <w:pStyle w:val="NormalWeb"/>
              <w:spacing w:before="0" w:beforeAutospacing="0" w:after="0" w:afterAutospacing="0"/>
              <w:ind w:left="29"/>
              <w:rPr>
                <w:rFonts w:eastAsiaTheme="minorHAnsi" w:cstheme="minorBidi"/>
                <w:szCs w:val="22"/>
              </w:rPr>
            </w:pPr>
            <w:r w:rsidRPr="003945D4">
              <w:rPr>
                <w:rFonts w:eastAsiaTheme="minorHAnsi" w:cstheme="minorBidi"/>
                <w:szCs w:val="22"/>
              </w:rPr>
              <w:t>Medium</w:t>
            </w:r>
          </w:p>
        </w:tc>
        <w:tc>
          <w:tcPr>
            <w:tcW w:w="995" w:type="dxa"/>
          </w:tcPr>
          <w:p w14:paraId="76D5732A" w14:textId="77777777" w:rsidR="003945D4" w:rsidRPr="003945D4" w:rsidRDefault="003945D4" w:rsidP="000D6E5D">
            <w:pPr>
              <w:pStyle w:val="NormalWeb"/>
              <w:spacing w:before="0" w:beforeAutospacing="0" w:after="0" w:afterAutospacing="0"/>
              <w:jc w:val="center"/>
              <w:rPr>
                <w:rFonts w:eastAsiaTheme="minorHAnsi" w:cstheme="minorBidi"/>
                <w:szCs w:val="22"/>
              </w:rPr>
            </w:pPr>
            <w:r w:rsidRPr="003945D4">
              <w:rPr>
                <w:rFonts w:eastAsiaTheme="minorHAnsi" w:cstheme="minorBidi"/>
                <w:szCs w:val="22"/>
              </w:rPr>
              <w:t>67</w:t>
            </w:r>
          </w:p>
        </w:tc>
      </w:tr>
      <w:tr w:rsidR="003945D4" w:rsidRPr="003945D4" w14:paraId="6E4E3B2D" w14:textId="77777777" w:rsidTr="000D6E5D">
        <w:trPr>
          <w:jc w:val="center"/>
        </w:trPr>
        <w:tc>
          <w:tcPr>
            <w:tcW w:w="1413" w:type="dxa"/>
          </w:tcPr>
          <w:p w14:paraId="7C14E964" w14:textId="77777777" w:rsidR="003945D4" w:rsidRPr="003945D4" w:rsidRDefault="003945D4" w:rsidP="000D6E5D">
            <w:pPr>
              <w:pStyle w:val="NormalWeb"/>
              <w:spacing w:before="0" w:beforeAutospacing="0" w:after="0" w:afterAutospacing="0"/>
              <w:ind w:left="29"/>
              <w:jc w:val="both"/>
              <w:rPr>
                <w:rFonts w:eastAsiaTheme="minorHAnsi" w:cstheme="minorBidi"/>
                <w:szCs w:val="22"/>
              </w:rPr>
            </w:pPr>
            <w:r w:rsidRPr="003945D4">
              <w:rPr>
                <w:rFonts w:eastAsiaTheme="minorHAnsi" w:cstheme="minorBidi"/>
                <w:szCs w:val="22"/>
              </w:rPr>
              <w:t>US</w:t>
            </w:r>
          </w:p>
        </w:tc>
        <w:tc>
          <w:tcPr>
            <w:tcW w:w="4250" w:type="dxa"/>
          </w:tcPr>
          <w:p w14:paraId="494A977D" w14:textId="77777777" w:rsidR="003945D4" w:rsidRPr="003945D4" w:rsidRDefault="003945D4" w:rsidP="000D6E5D">
            <w:pPr>
              <w:pStyle w:val="NormalWeb"/>
              <w:spacing w:before="0" w:beforeAutospacing="0" w:after="0" w:afterAutospacing="0"/>
              <w:ind w:left="29"/>
              <w:rPr>
                <w:rFonts w:eastAsiaTheme="minorHAnsi" w:cstheme="minorBidi"/>
                <w:szCs w:val="22"/>
              </w:rPr>
            </w:pPr>
            <w:r w:rsidRPr="003945D4">
              <w:rPr>
                <w:rFonts w:eastAsiaTheme="minorHAnsi" w:cstheme="minorBidi"/>
                <w:szCs w:val="22"/>
              </w:rPr>
              <w:t>Low</w:t>
            </w:r>
          </w:p>
        </w:tc>
        <w:tc>
          <w:tcPr>
            <w:tcW w:w="995" w:type="dxa"/>
          </w:tcPr>
          <w:p w14:paraId="4DA2817B" w14:textId="77777777" w:rsidR="003945D4" w:rsidRPr="003945D4" w:rsidRDefault="003945D4" w:rsidP="000D6E5D">
            <w:pPr>
              <w:pStyle w:val="NormalWeb"/>
              <w:spacing w:before="0" w:beforeAutospacing="0" w:after="0" w:afterAutospacing="0"/>
              <w:jc w:val="center"/>
              <w:rPr>
                <w:rFonts w:eastAsiaTheme="minorHAnsi" w:cstheme="minorBidi"/>
                <w:szCs w:val="22"/>
              </w:rPr>
            </w:pPr>
            <w:r w:rsidRPr="003945D4">
              <w:rPr>
                <w:rFonts w:eastAsiaTheme="minorHAnsi" w:cstheme="minorBidi"/>
                <w:szCs w:val="22"/>
              </w:rPr>
              <w:t>44</w:t>
            </w:r>
          </w:p>
        </w:tc>
      </w:tr>
    </w:tbl>
    <w:p w14:paraId="4A4111FA"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t>From the answers of each subject, the YEP subject was able to state the information that was known and asked correctly. This subject used all the information to solve the problem. The subject can estimate the method that will be used to solve the problem. Subject YEP can use his knowledge of geometric transformations, trigonometric formulas, matrix operations to solve problems. YEP also re-examined the answers it had. Based on the interview YEP can also explain information from the questions, can explain the steps to solve the problem, explain the calculation of the answer and can re-examine the answers obtained.</w:t>
      </w:r>
    </w:p>
    <w:p w14:paraId="3D5B7B90"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t xml:space="preserve">From the results of tests and interviews on YEP subjects, there were no difficulties in solving transformation geometry problems. YEP, subjects can explain the information contained in the </w:t>
      </w:r>
      <w:r w:rsidRPr="003945D4">
        <w:rPr>
          <w:rFonts w:ascii="Times New Roman" w:hAnsi="Times New Roman"/>
          <w:sz w:val="24"/>
          <w:lang w:val="en-US"/>
        </w:rPr>
        <w:lastRenderedPageBreak/>
        <w:t>questions, can explain the steps in solving the questions, and can solve the questions according to the steps and produce the correct answers, and can re-examine the answers. As a subject who has high logical-mathematical intelligence, YEP sees and observes patterns and relationships between data. YEP solves mathematical problems, plays problem-solving strategies. This subject tends to use a variety of graphics both to please themselves (as a hobby) and to convey information to others. A student is said to have good logical-mathematical intelligence if the student can calculate mathematically, think logically, reason scientifically, sharpness in abstract patterns and relationships (May Lwin 2008; Asri Budiningsih, 2005; Gardner, 1993).</w:t>
      </w:r>
    </w:p>
    <w:p w14:paraId="79A011AF"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t>MPW students can state the information that is known and asked correctly. The subject MPW is not able to predict the method that will be used to solve the problem. MPW subjects can use their knowledge to solve problems. MPW subjects are also able to use their knowledge of geometric transformations. The MPW subject was unable to re-examine the conjecture that had been made. This can be seen from the results of the following MPW answers:</w:t>
      </w:r>
    </w:p>
    <w:p w14:paraId="0CD366A1"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noProof/>
          <w:sz w:val="24"/>
          <w:lang w:val="en-US"/>
        </w:rPr>
        <w:lastRenderedPageBreak/>
        <w:drawing>
          <wp:inline distT="0" distB="0" distL="0" distR="0" wp14:anchorId="7B8E202B" wp14:editId="16750B3C">
            <wp:extent cx="2861534" cy="21945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51855" b="34321"/>
                    <a:stretch/>
                  </pic:blipFill>
                  <pic:spPr bwMode="auto">
                    <a:xfrm>
                      <a:off x="0" y="0"/>
                      <a:ext cx="2861534" cy="2194560"/>
                    </a:xfrm>
                    <a:prstGeom prst="rect">
                      <a:avLst/>
                    </a:prstGeom>
                    <a:ln>
                      <a:noFill/>
                    </a:ln>
                    <a:extLst>
                      <a:ext uri="{53640926-AAD7-44D8-BBD7-CCE9431645EC}">
                        <a14:shadowObscured xmlns:a14="http://schemas.microsoft.com/office/drawing/2010/main"/>
                      </a:ext>
                    </a:extLst>
                  </pic:spPr>
                </pic:pic>
              </a:graphicData>
            </a:graphic>
          </wp:inline>
        </w:drawing>
      </w:r>
    </w:p>
    <w:p w14:paraId="2514F24D"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t>Based on the picture above, MPW can only solve problems. MPW has not re-checked the answer whether it is correct or not. Based on interviews, MPW can explain the information on the questions, can explain the steps for solving the questions even though the answer sheets are not written, can solve the questions well. But still confused to check again whether the answer is correct or not.</w:t>
      </w:r>
    </w:p>
    <w:p w14:paraId="2FA03636"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t>AS subjects can state some of the information that is known and asked correctly. AS subjects can use their knowledge of geometric and trigonometric transformations and to solve problems. AS subjects have not been able to use their knowledge of matrix multiplication to solve problems. This can be seen in the following AS answer:</w:t>
      </w:r>
    </w:p>
    <w:p w14:paraId="304C7EF9"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lastRenderedPageBreak/>
        <w:t xml:space="preserve"> </w:t>
      </w:r>
      <w:r w:rsidRPr="003945D4">
        <w:rPr>
          <w:rFonts w:ascii="Times New Roman" w:hAnsi="Times New Roman"/>
          <w:noProof/>
          <w:sz w:val="24"/>
          <w:lang w:val="en-US"/>
        </w:rPr>
        <w:drawing>
          <wp:inline distT="0" distB="0" distL="0" distR="0" wp14:anchorId="233CA8C8" wp14:editId="6923CC08">
            <wp:extent cx="2852420" cy="2202288"/>
            <wp:effectExtent l="0" t="0" r="508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r="51993" b="34070"/>
                    <a:stretch/>
                  </pic:blipFill>
                  <pic:spPr bwMode="auto">
                    <a:xfrm>
                      <a:off x="0" y="0"/>
                      <a:ext cx="2853319" cy="2202982"/>
                    </a:xfrm>
                    <a:prstGeom prst="rect">
                      <a:avLst/>
                    </a:prstGeom>
                    <a:ln>
                      <a:noFill/>
                    </a:ln>
                    <a:extLst>
                      <a:ext uri="{53640926-AAD7-44D8-BBD7-CCE9431645EC}">
                        <a14:shadowObscured xmlns:a14="http://schemas.microsoft.com/office/drawing/2010/main"/>
                      </a:ext>
                    </a:extLst>
                  </pic:spPr>
                </pic:pic>
              </a:graphicData>
            </a:graphic>
          </wp:inline>
        </w:drawing>
      </w:r>
    </w:p>
    <w:p w14:paraId="01AFE9A2"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r w:rsidRPr="003945D4">
        <w:rPr>
          <w:rFonts w:ascii="Times New Roman" w:hAnsi="Times New Roman"/>
          <w:sz w:val="24"/>
          <w:lang w:val="en-US"/>
        </w:rPr>
        <w:t xml:space="preserve">From the picture, it can be seen that the subject AS was wrong in calculating the matrix multiplication, AS wrote </w:t>
      </w:r>
      <m:oMath>
        <m:d>
          <m:dPr>
            <m:begChr m:val="["/>
            <m:endChr m:val="]"/>
            <m:ctrlPr>
              <w:rPr>
                <w:rFonts w:ascii="Cambria Math" w:hAnsi="Cambria Math"/>
                <w:sz w:val="24"/>
                <w:lang w:val="en-US"/>
              </w:rPr>
            </m:ctrlPr>
          </m:dPr>
          <m:e>
            <m:m>
              <m:mPr>
                <m:mcs>
                  <m:mc>
                    <m:mcPr>
                      <m:count m:val="1"/>
                      <m:mcJc m:val="center"/>
                    </m:mcPr>
                  </m:mc>
                </m:mcs>
                <m:ctrlPr>
                  <w:rPr>
                    <w:rFonts w:ascii="Cambria Math" w:hAnsi="Cambria Math"/>
                    <w:sz w:val="24"/>
                    <w:lang w:val="en-US"/>
                  </w:rPr>
                </m:ctrlPr>
              </m:mPr>
              <m:mr>
                <m:e>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∙4-</m:t>
                  </m:r>
                  <m:r>
                    <w:rPr>
                      <w:rFonts w:ascii="Cambria Math" w:hAnsi="Cambria Math"/>
                      <w:sz w:val="24"/>
                      <w:lang w:val="en-US"/>
                    </w:rPr>
                    <m:t>x</m:t>
                  </m:r>
                  <m:r>
                    <m:rPr>
                      <m:sty m:val="p"/>
                    </m:rPr>
                    <w:rPr>
                      <w:rFonts w:ascii="Cambria Math" w:hAnsi="Cambria Math"/>
                      <w:sz w:val="24"/>
                      <w:lang w:val="en-US"/>
                    </w:rPr>
                    <m:t>-</m:t>
                  </m:r>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∙4-</m:t>
                  </m:r>
                  <m:r>
                    <w:rPr>
                      <w:rFonts w:ascii="Cambria Math" w:hAnsi="Cambria Math"/>
                      <w:sz w:val="24"/>
                      <w:lang w:val="en-US"/>
                    </w:rPr>
                    <m:t>x</m:t>
                  </m:r>
                </m:e>
              </m:mr>
              <m:mr>
                <m:e>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m:t>
                  </m:r>
                  <m:r>
                    <w:rPr>
                      <w:rFonts w:ascii="Cambria Math" w:hAnsi="Cambria Math"/>
                      <w:sz w:val="24"/>
                      <w:lang w:val="en-US"/>
                    </w:rPr>
                    <m:t>y</m:t>
                  </m:r>
                  <m:r>
                    <m:rPr>
                      <m:sty m:val="p"/>
                    </m:rPr>
                    <w:rPr>
                      <w:rFonts w:ascii="Cambria Math" w:hAnsi="Cambria Math"/>
                      <w:sz w:val="24"/>
                      <w:lang w:val="en-US"/>
                    </w:rPr>
                    <m:t>-1+</m:t>
                  </m:r>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m:t>
                  </m:r>
                  <m:r>
                    <w:rPr>
                      <w:rFonts w:ascii="Cambria Math" w:hAnsi="Cambria Math"/>
                      <w:sz w:val="24"/>
                      <w:lang w:val="en-US"/>
                    </w:rPr>
                    <m:t>y</m:t>
                  </m:r>
                  <m:r>
                    <m:rPr>
                      <m:sty m:val="p"/>
                    </m:rPr>
                    <w:rPr>
                      <w:rFonts w:ascii="Cambria Math" w:hAnsi="Cambria Math"/>
                      <w:sz w:val="24"/>
                      <w:lang w:val="en-US"/>
                    </w:rPr>
                    <m:t>-1</m:t>
                  </m:r>
                </m:e>
              </m:mr>
            </m:m>
          </m:e>
        </m:d>
        <m:r>
          <m:rPr>
            <m:sty m:val="p"/>
          </m:rPr>
          <w:rPr>
            <w:rFonts w:ascii="Cambria Math" w:hAnsi="Cambria Math"/>
            <w:sz w:val="24"/>
            <w:lang w:val="en-US"/>
          </w:rPr>
          <m:t>+</m:t>
        </m:r>
        <m:d>
          <m:dPr>
            <m:ctrlPr>
              <w:rPr>
                <w:rFonts w:ascii="Cambria Math" w:hAnsi="Cambria Math"/>
                <w:sz w:val="24"/>
                <w:lang w:val="en-US"/>
              </w:rPr>
            </m:ctrlPr>
          </m:dPr>
          <m:e>
            <m:m>
              <m:mPr>
                <m:mcs>
                  <m:mc>
                    <m:mcPr>
                      <m:count m:val="1"/>
                      <m:mcJc m:val="center"/>
                    </m:mcPr>
                  </m:mc>
                </m:mcs>
                <m:ctrlPr>
                  <w:rPr>
                    <w:rFonts w:ascii="Cambria Math" w:hAnsi="Cambria Math"/>
                    <w:sz w:val="24"/>
                    <w:lang w:val="en-US"/>
                  </w:rPr>
                </m:ctrlPr>
              </m:mPr>
              <m:mr>
                <m:e>
                  <m:r>
                    <m:rPr>
                      <m:sty m:val="p"/>
                    </m:rPr>
                    <w:rPr>
                      <w:rFonts w:ascii="Cambria Math" w:hAnsi="Cambria Math"/>
                      <w:sz w:val="24"/>
                      <w:lang w:val="en-US"/>
                    </w:rPr>
                    <m:t>2</m:t>
                  </m:r>
                </m:e>
              </m:mr>
              <m:mr>
                <m:e>
                  <m:r>
                    <m:rPr>
                      <m:sty m:val="p"/>
                    </m:rPr>
                    <w:rPr>
                      <w:rFonts w:ascii="Cambria Math" w:hAnsi="Cambria Math"/>
                      <w:sz w:val="24"/>
                      <w:lang w:val="en-US"/>
                    </w:rPr>
                    <m:t>1</m:t>
                  </m:r>
                </m:e>
              </m:mr>
            </m:m>
          </m:e>
        </m:d>
      </m:oMath>
      <w:r w:rsidRPr="003945D4">
        <w:rPr>
          <w:rFonts w:ascii="Times New Roman" w:hAnsi="Times New Roman"/>
          <w:sz w:val="24"/>
          <w:lang w:val="en-US"/>
        </w:rPr>
        <w:t xml:space="preserve">. From this answer, the error that AS made was multiplying row 1 column 2 in the first matrix with row 1 column 1 in the second matrix, and row 2 column 1 with row 1 column 1 in the second matrix. What AS should do is multiply row 1 column 1 in the first matrix by the first row of the first column in the second matrix and multiply the second row of the first column in the first matrix with the first row of the second column Likewise row 2 in the first matrix with the first column in the second matrix. So generated </w:t>
      </w:r>
      <m:oMath>
        <m:d>
          <m:dPr>
            <m:begChr m:val="["/>
            <m:endChr m:val="]"/>
            <m:ctrlPr>
              <w:rPr>
                <w:rFonts w:ascii="Cambria Math" w:hAnsi="Cambria Math"/>
                <w:sz w:val="24"/>
                <w:lang w:val="en-US"/>
              </w:rPr>
            </m:ctrlPr>
          </m:dPr>
          <m:e>
            <m:m>
              <m:mPr>
                <m:mcs>
                  <m:mc>
                    <m:mcPr>
                      <m:count m:val="1"/>
                      <m:mcJc m:val="center"/>
                    </m:mcPr>
                  </m:mc>
                </m:mcs>
                <m:ctrlPr>
                  <w:rPr>
                    <w:rFonts w:ascii="Cambria Math" w:hAnsi="Cambria Math"/>
                    <w:sz w:val="24"/>
                    <w:lang w:val="en-US"/>
                  </w:rPr>
                </m:ctrlPr>
              </m:mPr>
              <m:mr>
                <m:e>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∙4-</m:t>
                  </m:r>
                  <m:r>
                    <w:rPr>
                      <w:rFonts w:ascii="Cambria Math" w:hAnsi="Cambria Math"/>
                      <w:sz w:val="24"/>
                      <w:lang w:val="en-US"/>
                    </w:rPr>
                    <m:t>x</m:t>
                  </m:r>
                  <m:r>
                    <m:rPr>
                      <m:sty m:val="p"/>
                    </m:rPr>
                    <w:rPr>
                      <w:rFonts w:ascii="Cambria Math" w:hAnsi="Cambria Math"/>
                      <w:sz w:val="24"/>
                      <w:lang w:val="en-US"/>
                    </w:rPr>
                    <m:t>-</m:t>
                  </m:r>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∙4-</m:t>
                  </m:r>
                  <m:r>
                    <w:rPr>
                      <w:rFonts w:ascii="Cambria Math" w:hAnsi="Cambria Math"/>
                      <w:sz w:val="24"/>
                      <w:lang w:val="en-US"/>
                    </w:rPr>
                    <m:t>x</m:t>
                  </m:r>
                </m:e>
              </m:mr>
              <m:mr>
                <m:e>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m:t>
                  </m:r>
                  <m:r>
                    <w:rPr>
                      <w:rFonts w:ascii="Cambria Math" w:hAnsi="Cambria Math"/>
                      <w:sz w:val="24"/>
                      <w:lang w:val="en-US"/>
                    </w:rPr>
                    <m:t>y</m:t>
                  </m:r>
                  <m:r>
                    <m:rPr>
                      <m:sty m:val="p"/>
                    </m:rPr>
                    <w:rPr>
                      <w:rFonts w:ascii="Cambria Math" w:hAnsi="Cambria Math"/>
                      <w:sz w:val="24"/>
                      <w:lang w:val="en-US"/>
                    </w:rPr>
                    <m:t>-1+</m:t>
                  </m:r>
                  <m:f>
                    <m:fPr>
                      <m:ctrlPr>
                        <w:rPr>
                          <w:rFonts w:ascii="Cambria Math" w:hAnsi="Cambria Math"/>
                          <w:sz w:val="24"/>
                          <w:lang w:val="en-US"/>
                        </w:rPr>
                      </m:ctrlPr>
                    </m:fPr>
                    <m:num>
                      <m:r>
                        <m:rPr>
                          <m:sty m:val="p"/>
                        </m:rPr>
                        <w:rPr>
                          <w:rFonts w:ascii="Cambria Math" w:hAnsi="Cambria Math"/>
                          <w:sz w:val="24"/>
                          <w:lang w:val="en-US"/>
                        </w:rPr>
                        <m:t>1</m:t>
                      </m:r>
                    </m:num>
                    <m:den>
                      <m:r>
                        <m:rPr>
                          <m:sty m:val="p"/>
                        </m:rPr>
                        <w:rPr>
                          <w:rFonts w:ascii="Cambria Math" w:hAnsi="Cambria Math"/>
                          <w:sz w:val="24"/>
                          <w:lang w:val="en-US"/>
                        </w:rPr>
                        <m:t>2</m:t>
                      </m:r>
                    </m:den>
                  </m:f>
                  <m:rad>
                    <m:radPr>
                      <m:degHide m:val="1"/>
                      <m:ctrlPr>
                        <w:rPr>
                          <w:rFonts w:ascii="Cambria Math" w:hAnsi="Cambria Math"/>
                          <w:sz w:val="24"/>
                          <w:lang w:val="en-US"/>
                        </w:rPr>
                      </m:ctrlPr>
                    </m:radPr>
                    <m:deg/>
                    <m:e>
                      <m:r>
                        <m:rPr>
                          <m:sty m:val="p"/>
                        </m:rPr>
                        <w:rPr>
                          <w:rFonts w:ascii="Cambria Math" w:hAnsi="Cambria Math"/>
                          <w:sz w:val="24"/>
                          <w:lang w:val="en-US"/>
                        </w:rPr>
                        <m:t>2</m:t>
                      </m:r>
                    </m:e>
                  </m:rad>
                  <m:r>
                    <m:rPr>
                      <m:sty m:val="p"/>
                    </m:rPr>
                    <w:rPr>
                      <w:rFonts w:ascii="Cambria Math" w:hAnsi="Cambria Math"/>
                      <w:sz w:val="24"/>
                      <w:lang w:val="en-US"/>
                    </w:rPr>
                    <m:t>∙</m:t>
                  </m:r>
                  <m:r>
                    <w:rPr>
                      <w:rFonts w:ascii="Cambria Math" w:hAnsi="Cambria Math"/>
                      <w:sz w:val="24"/>
                      <w:lang w:val="en-US"/>
                    </w:rPr>
                    <m:t>y</m:t>
                  </m:r>
                  <m:r>
                    <m:rPr>
                      <m:sty m:val="p"/>
                    </m:rPr>
                    <w:rPr>
                      <w:rFonts w:ascii="Cambria Math" w:hAnsi="Cambria Math"/>
                      <w:sz w:val="24"/>
                      <w:lang w:val="en-US"/>
                    </w:rPr>
                    <m:t>-1</m:t>
                  </m:r>
                </m:e>
              </m:mr>
            </m:m>
          </m:e>
        </m:d>
        <m:r>
          <m:rPr>
            <m:sty m:val="p"/>
          </m:rPr>
          <w:rPr>
            <w:rFonts w:ascii="Cambria Math" w:hAnsi="Cambria Math"/>
            <w:sz w:val="24"/>
            <w:lang w:val="en-US"/>
          </w:rPr>
          <m:t>+</m:t>
        </m:r>
        <m:d>
          <m:dPr>
            <m:ctrlPr>
              <w:rPr>
                <w:rFonts w:ascii="Cambria Math" w:hAnsi="Cambria Math"/>
                <w:sz w:val="24"/>
                <w:lang w:val="en-US"/>
              </w:rPr>
            </m:ctrlPr>
          </m:dPr>
          <m:e>
            <m:m>
              <m:mPr>
                <m:mcs>
                  <m:mc>
                    <m:mcPr>
                      <m:count m:val="1"/>
                      <m:mcJc m:val="center"/>
                    </m:mcPr>
                  </m:mc>
                </m:mcs>
                <m:ctrlPr>
                  <w:rPr>
                    <w:rFonts w:ascii="Cambria Math" w:hAnsi="Cambria Math"/>
                    <w:sz w:val="24"/>
                    <w:lang w:val="en-US"/>
                  </w:rPr>
                </m:ctrlPr>
              </m:mPr>
              <m:mr>
                <m:e>
                  <m:r>
                    <m:rPr>
                      <m:sty m:val="p"/>
                    </m:rPr>
                    <w:rPr>
                      <w:rFonts w:ascii="Cambria Math" w:hAnsi="Cambria Math"/>
                      <w:sz w:val="24"/>
                      <w:lang w:val="en-US"/>
                    </w:rPr>
                    <m:t>2</m:t>
                  </m:r>
                </m:e>
              </m:mr>
              <m:mr>
                <m:e>
                  <m:r>
                    <m:rPr>
                      <m:sty m:val="p"/>
                    </m:rPr>
                    <w:rPr>
                      <w:rFonts w:ascii="Cambria Math" w:hAnsi="Cambria Math"/>
                      <w:sz w:val="24"/>
                      <w:lang w:val="en-US"/>
                    </w:rPr>
                    <m:t>1</m:t>
                  </m:r>
                </m:e>
              </m:mr>
            </m:m>
          </m:e>
        </m:d>
      </m:oMath>
      <w:r w:rsidRPr="003945D4">
        <w:rPr>
          <w:rFonts w:ascii="Times New Roman" w:hAnsi="Times New Roman"/>
          <w:sz w:val="24"/>
          <w:lang w:val="en-US"/>
        </w:rPr>
        <w:t>. Because the AS was wrong in the middle of the calculation to solve the problem so the AS did not give the correct answer. In addition, from the results of the AS answer also did not re-</w:t>
      </w:r>
      <w:r w:rsidRPr="003945D4">
        <w:rPr>
          <w:rFonts w:ascii="Times New Roman" w:hAnsi="Times New Roman"/>
          <w:sz w:val="24"/>
          <w:lang w:val="en-US"/>
        </w:rPr>
        <w:lastRenderedPageBreak/>
        <w:t>check the answer. Based on the interview, AS can explain the information that is known from the problem, can explain the steps for solving the problem, but in its application it has not been able to solve the problem properly because the AS does not master the matrix material. In addition, the AS has not been able to re-examine the answer.</w:t>
      </w:r>
    </w:p>
    <w:p w14:paraId="54A290CA" w14:textId="77777777" w:rsidR="003945D4" w:rsidRPr="003945D4" w:rsidRDefault="003945D4" w:rsidP="003945D4">
      <w:pPr>
        <w:pBdr>
          <w:top w:val="nil"/>
          <w:left w:val="nil"/>
          <w:bottom w:val="nil"/>
          <w:right w:val="nil"/>
          <w:between w:val="nil"/>
        </w:pBdr>
        <w:spacing w:before="120" w:after="120"/>
        <w:ind w:firstLine="567"/>
        <w:jc w:val="both"/>
        <w:rPr>
          <w:rFonts w:ascii="Times New Roman" w:hAnsi="Times New Roman"/>
          <w:sz w:val="24"/>
          <w:lang w:val="en-US"/>
        </w:rPr>
      </w:pPr>
    </w:p>
    <w:p w14:paraId="7B998447" w14:textId="77777777" w:rsidR="003945D4" w:rsidRPr="003945D4" w:rsidRDefault="003945D4" w:rsidP="003945D4">
      <w:pPr>
        <w:pBdr>
          <w:top w:val="nil"/>
          <w:left w:val="nil"/>
          <w:bottom w:val="nil"/>
          <w:right w:val="nil"/>
          <w:between w:val="nil"/>
        </w:pBdr>
        <w:spacing w:after="0" w:line="360" w:lineRule="auto"/>
        <w:rPr>
          <w:rFonts w:ascii="Times New Roman" w:hAnsi="Times New Roman"/>
          <w:b/>
          <w:sz w:val="24"/>
          <w:lang w:val="en-US"/>
        </w:rPr>
      </w:pPr>
      <w:r w:rsidRPr="003945D4">
        <w:rPr>
          <w:rFonts w:ascii="Times New Roman" w:hAnsi="Times New Roman"/>
          <w:b/>
          <w:sz w:val="24"/>
          <w:lang w:val="en-US"/>
        </w:rPr>
        <w:t>DISCUSSION</w:t>
      </w:r>
    </w:p>
    <w:p w14:paraId="4B74820A" w14:textId="77777777" w:rsidR="003945D4" w:rsidRPr="003945D4" w:rsidRDefault="003945D4" w:rsidP="003945D4">
      <w:pPr>
        <w:pStyle w:val="NormalWeb"/>
        <w:spacing w:before="0" w:beforeAutospacing="0" w:after="0" w:afterAutospacing="0"/>
        <w:ind w:firstLine="720"/>
        <w:jc w:val="both"/>
        <w:rPr>
          <w:rFonts w:eastAsiaTheme="minorHAnsi" w:cstheme="minorBidi"/>
          <w:szCs w:val="22"/>
        </w:rPr>
      </w:pPr>
      <w:r w:rsidRPr="003945D4">
        <w:rPr>
          <w:rFonts w:eastAsiaTheme="minorHAnsi" w:cstheme="minorBidi"/>
          <w:szCs w:val="22"/>
        </w:rPr>
        <w:t xml:space="preserve">From the results of tests and interviews on YEP subjects, there were no difficulties in solving transformation geometry problems. YEP subjects can explain the information contained in the questions, can explain the steps in solving the questions, and can solve the questions according to the steps and produce the correct answers, and can re-examine the answers. As a subject who has high logical mathematical intelligence, YEP sees and observes patterns and relationships between data. YEP solves mathematical problems, plays problem solving strategies. This subject tends to use a variety of graphics both to please themselves (as a hobby) and to convey information to others. A student is said to have good logical mathematical intelligence if the student has the ability in mathematical calculations, logical thinking, scientific reasoning, sharpness in abstract patterns and relationships (May </w:t>
      </w:r>
      <w:proofErr w:type="spellStart"/>
      <w:r w:rsidRPr="003945D4">
        <w:rPr>
          <w:rFonts w:eastAsiaTheme="minorHAnsi" w:cstheme="minorBidi"/>
          <w:szCs w:val="22"/>
        </w:rPr>
        <w:t>Lwin</w:t>
      </w:r>
      <w:proofErr w:type="spellEnd"/>
      <w:r w:rsidRPr="003945D4">
        <w:rPr>
          <w:rFonts w:eastAsiaTheme="minorHAnsi" w:cstheme="minorBidi"/>
          <w:szCs w:val="22"/>
        </w:rPr>
        <w:t xml:space="preserve"> 2008; </w:t>
      </w:r>
      <w:proofErr w:type="spellStart"/>
      <w:r w:rsidRPr="003945D4">
        <w:rPr>
          <w:rFonts w:eastAsiaTheme="minorHAnsi" w:cstheme="minorBidi"/>
          <w:szCs w:val="22"/>
        </w:rPr>
        <w:t>Asri</w:t>
      </w:r>
      <w:proofErr w:type="spellEnd"/>
      <w:r w:rsidRPr="003945D4">
        <w:rPr>
          <w:rFonts w:eastAsiaTheme="minorHAnsi" w:cstheme="minorBidi"/>
          <w:szCs w:val="22"/>
        </w:rPr>
        <w:t xml:space="preserve"> </w:t>
      </w:r>
      <w:proofErr w:type="spellStart"/>
      <w:r w:rsidRPr="003945D4">
        <w:rPr>
          <w:rFonts w:eastAsiaTheme="minorHAnsi" w:cstheme="minorBidi"/>
          <w:szCs w:val="22"/>
        </w:rPr>
        <w:t>Budiningsih</w:t>
      </w:r>
      <w:proofErr w:type="spellEnd"/>
      <w:r w:rsidRPr="003945D4">
        <w:rPr>
          <w:rFonts w:eastAsiaTheme="minorHAnsi" w:cstheme="minorBidi"/>
          <w:szCs w:val="22"/>
        </w:rPr>
        <w:t>, 2005; Gardner, 1993</w:t>
      </w:r>
      <w:proofErr w:type="gramStart"/>
      <w:r w:rsidRPr="003945D4">
        <w:rPr>
          <w:rFonts w:eastAsiaTheme="minorHAnsi" w:cstheme="minorBidi"/>
          <w:szCs w:val="22"/>
        </w:rPr>
        <w:t>) .</w:t>
      </w:r>
      <w:proofErr w:type="gramEnd"/>
      <w:r w:rsidRPr="003945D4">
        <w:rPr>
          <w:rFonts w:eastAsiaTheme="minorHAnsi" w:cstheme="minorBidi"/>
          <w:szCs w:val="22"/>
        </w:rPr>
        <w:t xml:space="preserve"> The concepts in mathematics used by YEP are organized systematically, logically and hierarchically from the simplest to the complex, understanding and mastering a new material/concept is also based on the knowledge previously learned by students (Romberg &amp; Kaput, </w:t>
      </w:r>
      <w:r w:rsidRPr="003945D4">
        <w:rPr>
          <w:rFonts w:eastAsiaTheme="minorHAnsi" w:cstheme="minorBidi"/>
          <w:szCs w:val="22"/>
        </w:rPr>
        <w:lastRenderedPageBreak/>
        <w:t xml:space="preserve">2009; Rose &amp; </w:t>
      </w:r>
      <w:proofErr w:type="spellStart"/>
      <w:r w:rsidRPr="003945D4">
        <w:rPr>
          <w:rFonts w:eastAsiaTheme="minorHAnsi" w:cstheme="minorBidi"/>
          <w:szCs w:val="22"/>
        </w:rPr>
        <w:t>Arline</w:t>
      </w:r>
      <w:proofErr w:type="spellEnd"/>
      <w:r w:rsidRPr="003945D4">
        <w:rPr>
          <w:rFonts w:eastAsiaTheme="minorHAnsi" w:cstheme="minorBidi"/>
          <w:szCs w:val="22"/>
        </w:rPr>
        <w:t xml:space="preserve">, 2009). 2009; </w:t>
      </w:r>
      <w:proofErr w:type="spellStart"/>
      <w:r w:rsidRPr="003945D4">
        <w:rPr>
          <w:rFonts w:eastAsiaTheme="minorHAnsi" w:cstheme="minorBidi"/>
          <w:szCs w:val="22"/>
        </w:rPr>
        <w:t>Goos</w:t>
      </w:r>
      <w:proofErr w:type="spellEnd"/>
      <w:r w:rsidRPr="003945D4">
        <w:rPr>
          <w:rFonts w:eastAsiaTheme="minorHAnsi" w:cstheme="minorBidi"/>
          <w:szCs w:val="22"/>
        </w:rPr>
        <w:t xml:space="preserve">, </w:t>
      </w:r>
      <w:proofErr w:type="spellStart"/>
      <w:r w:rsidRPr="003945D4">
        <w:rPr>
          <w:rFonts w:eastAsiaTheme="minorHAnsi" w:cstheme="minorBidi"/>
          <w:szCs w:val="22"/>
        </w:rPr>
        <w:t>Stillman</w:t>
      </w:r>
      <w:proofErr w:type="spellEnd"/>
      <w:r w:rsidRPr="003945D4">
        <w:rPr>
          <w:rFonts w:eastAsiaTheme="minorHAnsi" w:cstheme="minorBidi"/>
          <w:szCs w:val="22"/>
        </w:rPr>
        <w:t xml:space="preserve"> &amp; Vale, 2007; Ben-</w:t>
      </w:r>
      <w:proofErr w:type="spellStart"/>
      <w:r w:rsidRPr="003945D4">
        <w:rPr>
          <w:rFonts w:eastAsiaTheme="minorHAnsi" w:cstheme="minorBidi"/>
          <w:szCs w:val="22"/>
        </w:rPr>
        <w:t>Zvi</w:t>
      </w:r>
      <w:proofErr w:type="spellEnd"/>
      <w:r w:rsidRPr="003945D4">
        <w:rPr>
          <w:rFonts w:eastAsiaTheme="minorHAnsi" w:cstheme="minorBidi"/>
          <w:szCs w:val="22"/>
        </w:rPr>
        <w:t xml:space="preserve"> &amp; </w:t>
      </w:r>
      <w:proofErr w:type="spellStart"/>
      <w:r w:rsidRPr="003945D4">
        <w:rPr>
          <w:rFonts w:eastAsiaTheme="minorHAnsi" w:cstheme="minorBidi"/>
          <w:szCs w:val="22"/>
        </w:rPr>
        <w:t>Hofstein</w:t>
      </w:r>
      <w:proofErr w:type="spellEnd"/>
      <w:r w:rsidRPr="003945D4">
        <w:rPr>
          <w:rFonts w:eastAsiaTheme="minorHAnsi" w:cstheme="minorBidi"/>
          <w:szCs w:val="22"/>
        </w:rPr>
        <w:t xml:space="preserve">, 1996; </w:t>
      </w:r>
      <w:proofErr w:type="spellStart"/>
      <w:r w:rsidRPr="003945D4">
        <w:rPr>
          <w:rFonts w:eastAsiaTheme="minorHAnsi" w:cstheme="minorBidi"/>
          <w:szCs w:val="22"/>
        </w:rPr>
        <w:t>Skemp</w:t>
      </w:r>
      <w:proofErr w:type="spellEnd"/>
      <w:r w:rsidRPr="003945D4">
        <w:rPr>
          <w:rFonts w:eastAsiaTheme="minorHAnsi" w:cstheme="minorBidi"/>
          <w:szCs w:val="22"/>
        </w:rPr>
        <w:t xml:space="preserve">, 1971; </w:t>
      </w:r>
      <w:proofErr w:type="spellStart"/>
      <w:r w:rsidRPr="003945D4">
        <w:rPr>
          <w:rFonts w:eastAsiaTheme="minorHAnsi" w:cstheme="minorBidi"/>
          <w:szCs w:val="22"/>
        </w:rPr>
        <w:t>Polya</w:t>
      </w:r>
      <w:proofErr w:type="spellEnd"/>
      <w:r w:rsidRPr="003945D4">
        <w:rPr>
          <w:rFonts w:eastAsiaTheme="minorHAnsi" w:cstheme="minorBidi"/>
          <w:szCs w:val="22"/>
        </w:rPr>
        <w:t>, 1981).</w:t>
      </w:r>
    </w:p>
    <w:p w14:paraId="4FADA95A" w14:textId="77777777" w:rsidR="003945D4" w:rsidRPr="003945D4" w:rsidRDefault="003945D4" w:rsidP="003945D4">
      <w:pPr>
        <w:pStyle w:val="NormalWeb"/>
        <w:spacing w:before="0" w:beforeAutospacing="0" w:after="0" w:afterAutospacing="0"/>
        <w:ind w:firstLine="720"/>
        <w:jc w:val="both"/>
        <w:rPr>
          <w:rFonts w:eastAsiaTheme="minorHAnsi" w:cstheme="minorBidi"/>
          <w:szCs w:val="22"/>
        </w:rPr>
      </w:pPr>
      <w:r w:rsidRPr="003945D4">
        <w:rPr>
          <w:rFonts w:eastAsiaTheme="minorHAnsi" w:cstheme="minorBidi"/>
          <w:szCs w:val="22"/>
        </w:rPr>
        <w:t>From the results of tests and interviews, MPW subjects were able to mention the information that was known and asked correctly. The subject can explain the method that will be used to solve the problem. MPW subjects can use their knowledge to solve these problems. However, MPW subjects had difficulty in re-examining their answers. As a subject who has moderate logical mathematical intelligence, MPW who has difficulty in re-checking the answer whether it is correct or not. Furthermore, a person is said to understand mathematics if he can explain mathematical concepts and facts in a simple form and can connect them logically between different facts and concepts (</w:t>
      </w:r>
      <w:proofErr w:type="spellStart"/>
      <w:r w:rsidRPr="003945D4">
        <w:rPr>
          <w:rFonts w:eastAsiaTheme="minorHAnsi" w:cstheme="minorBidi"/>
          <w:szCs w:val="22"/>
        </w:rPr>
        <w:t>Alfeld</w:t>
      </w:r>
      <w:proofErr w:type="spellEnd"/>
      <w:r w:rsidRPr="003945D4">
        <w:rPr>
          <w:rFonts w:eastAsiaTheme="minorHAnsi" w:cstheme="minorBidi"/>
          <w:szCs w:val="22"/>
        </w:rPr>
        <w:t xml:space="preserve">, 2004; </w:t>
      </w:r>
      <w:proofErr w:type="spellStart"/>
      <w:r w:rsidRPr="003945D4">
        <w:rPr>
          <w:rFonts w:eastAsiaTheme="minorHAnsi" w:cstheme="minorBidi"/>
          <w:szCs w:val="22"/>
        </w:rPr>
        <w:t>Dowker</w:t>
      </w:r>
      <w:proofErr w:type="spellEnd"/>
      <w:r w:rsidRPr="003945D4">
        <w:rPr>
          <w:rFonts w:eastAsiaTheme="minorHAnsi" w:cstheme="minorBidi"/>
          <w:szCs w:val="22"/>
        </w:rPr>
        <w:t xml:space="preserve">, 2004; Romberg &amp; Shafer, 2007; </w:t>
      </w:r>
      <w:proofErr w:type="spellStart"/>
      <w:r w:rsidRPr="003945D4">
        <w:rPr>
          <w:rFonts w:eastAsiaTheme="minorHAnsi" w:cstheme="minorBidi"/>
          <w:szCs w:val="22"/>
        </w:rPr>
        <w:t>Bynner</w:t>
      </w:r>
      <w:proofErr w:type="spellEnd"/>
      <w:r w:rsidRPr="003945D4">
        <w:rPr>
          <w:rFonts w:eastAsiaTheme="minorHAnsi" w:cstheme="minorBidi"/>
          <w:szCs w:val="22"/>
        </w:rPr>
        <w:t xml:space="preserve"> &amp; Parsons, 1997). ; </w:t>
      </w:r>
      <w:proofErr w:type="spellStart"/>
      <w:r w:rsidRPr="003945D4">
        <w:rPr>
          <w:rFonts w:eastAsiaTheme="minorHAnsi" w:cstheme="minorBidi"/>
          <w:szCs w:val="22"/>
        </w:rPr>
        <w:t>Cawley</w:t>
      </w:r>
      <w:proofErr w:type="spellEnd"/>
      <w:r w:rsidRPr="003945D4">
        <w:rPr>
          <w:rFonts w:eastAsiaTheme="minorHAnsi" w:cstheme="minorBidi"/>
          <w:szCs w:val="22"/>
        </w:rPr>
        <w:t>, 1985). In this case, the subject of MPW cannot connect mathematical concepts logically to re-examine the answer.</w:t>
      </w:r>
    </w:p>
    <w:p w14:paraId="5446B4DD" w14:textId="77777777" w:rsidR="003945D4" w:rsidRPr="003945D4" w:rsidRDefault="003945D4" w:rsidP="003945D4">
      <w:pPr>
        <w:pStyle w:val="NormalWeb"/>
        <w:spacing w:before="0" w:beforeAutospacing="0" w:after="0" w:afterAutospacing="0"/>
        <w:ind w:firstLine="720"/>
        <w:jc w:val="both"/>
        <w:rPr>
          <w:rFonts w:eastAsiaTheme="minorHAnsi" w:cstheme="minorBidi"/>
          <w:szCs w:val="22"/>
        </w:rPr>
      </w:pPr>
      <w:r w:rsidRPr="003945D4">
        <w:rPr>
          <w:rFonts w:eastAsiaTheme="minorHAnsi" w:cstheme="minorBidi"/>
          <w:szCs w:val="22"/>
        </w:rPr>
        <w:t xml:space="preserve">From the results of tests and </w:t>
      </w:r>
      <w:proofErr w:type="spellStart"/>
      <w:r w:rsidRPr="003945D4">
        <w:rPr>
          <w:rFonts w:eastAsiaTheme="minorHAnsi" w:cstheme="minorBidi"/>
          <w:szCs w:val="22"/>
        </w:rPr>
        <w:t>interviews,subjects</w:t>
      </w:r>
      <w:proofErr w:type="spellEnd"/>
      <w:r w:rsidRPr="003945D4">
        <w:rPr>
          <w:rFonts w:eastAsiaTheme="minorHAnsi" w:cstheme="minorBidi"/>
          <w:szCs w:val="22"/>
        </w:rPr>
        <w:t xml:space="preserve"> are </w:t>
      </w:r>
      <w:proofErr w:type="spellStart"/>
      <w:r w:rsidRPr="003945D4">
        <w:rPr>
          <w:rFonts w:eastAsiaTheme="minorHAnsi" w:cstheme="minorBidi"/>
          <w:szCs w:val="22"/>
        </w:rPr>
        <w:t>ASable</w:t>
      </w:r>
      <w:proofErr w:type="spellEnd"/>
      <w:r w:rsidRPr="003945D4">
        <w:rPr>
          <w:rFonts w:eastAsiaTheme="minorHAnsi" w:cstheme="minorBidi"/>
          <w:szCs w:val="22"/>
        </w:rPr>
        <w:t xml:space="preserve"> to explain information that is known from the problem, able to explain the steps for solving the problem However, in its application, AS subjects have difficulty in solving problems well because AS does not master the matrix material. In addition, the US has not been able to re-examine the answer. As a subject who has low logical mathematical intelligence, the US who has difficulty in learning mathematics generally lies in the lack of understanding of concepts and principles in mathematics (Huda, 2013; </w:t>
      </w:r>
      <w:proofErr w:type="spellStart"/>
      <w:r w:rsidRPr="003945D4">
        <w:rPr>
          <w:rFonts w:eastAsiaTheme="minorHAnsi" w:cstheme="minorBidi"/>
          <w:szCs w:val="22"/>
        </w:rPr>
        <w:t>Sudirman</w:t>
      </w:r>
      <w:proofErr w:type="spellEnd"/>
      <w:r w:rsidRPr="003945D4">
        <w:rPr>
          <w:rFonts w:eastAsiaTheme="minorHAnsi" w:cstheme="minorBidi"/>
          <w:szCs w:val="22"/>
        </w:rPr>
        <w:t xml:space="preserve">, 2019; </w:t>
      </w:r>
      <w:proofErr w:type="spellStart"/>
      <w:r w:rsidRPr="003945D4">
        <w:rPr>
          <w:rFonts w:eastAsiaTheme="minorHAnsi" w:cstheme="minorBidi"/>
          <w:szCs w:val="22"/>
        </w:rPr>
        <w:t>Abdurahman</w:t>
      </w:r>
      <w:proofErr w:type="spellEnd"/>
      <w:r w:rsidRPr="003945D4">
        <w:rPr>
          <w:rFonts w:eastAsiaTheme="minorHAnsi" w:cstheme="minorBidi"/>
          <w:szCs w:val="22"/>
        </w:rPr>
        <w:t xml:space="preserve">, 2012). </w:t>
      </w:r>
      <w:proofErr w:type="spellStart"/>
      <w:r w:rsidRPr="003945D4">
        <w:rPr>
          <w:rFonts w:eastAsiaTheme="minorHAnsi" w:cstheme="minorBidi"/>
          <w:szCs w:val="22"/>
        </w:rPr>
        <w:t>Ulya</w:t>
      </w:r>
      <w:proofErr w:type="spellEnd"/>
      <w:r w:rsidRPr="003945D4">
        <w:rPr>
          <w:rFonts w:eastAsiaTheme="minorHAnsi" w:cstheme="minorBidi"/>
          <w:szCs w:val="22"/>
        </w:rPr>
        <w:t xml:space="preserve"> also said that the ability to solve mathematical problems is still low, so the planning of mathematics </w:t>
      </w:r>
      <w:r w:rsidRPr="003945D4">
        <w:rPr>
          <w:rFonts w:eastAsiaTheme="minorHAnsi" w:cstheme="minorBidi"/>
          <w:szCs w:val="22"/>
        </w:rPr>
        <w:lastRenderedPageBreak/>
        <w:t>learning needs to be reviewed by the teacher so that it can produce maximum student problem solving abilities (</w:t>
      </w:r>
      <w:proofErr w:type="spellStart"/>
      <w:r w:rsidRPr="003945D4">
        <w:rPr>
          <w:rFonts w:eastAsiaTheme="minorHAnsi" w:cstheme="minorBidi"/>
          <w:szCs w:val="22"/>
        </w:rPr>
        <w:t>Ulya</w:t>
      </w:r>
      <w:proofErr w:type="spellEnd"/>
      <w:r w:rsidRPr="003945D4">
        <w:rPr>
          <w:rFonts w:eastAsiaTheme="minorHAnsi" w:cstheme="minorBidi"/>
          <w:szCs w:val="22"/>
        </w:rPr>
        <w:t>, 2015). In this case, subjects with low mathematical logical abilities may not be able to solve problems because the learning process or lectures used are not suitable (Vera, 2018).</w:t>
      </w:r>
    </w:p>
    <w:p w14:paraId="2696CB75" w14:textId="379573F4" w:rsidR="00F8342D" w:rsidRDefault="003945D4" w:rsidP="003945D4">
      <w:pPr>
        <w:autoSpaceDE w:val="0"/>
        <w:autoSpaceDN w:val="0"/>
        <w:adjustRightInd w:val="0"/>
        <w:spacing w:after="0" w:line="240" w:lineRule="auto"/>
        <w:ind w:firstLine="720"/>
        <w:jc w:val="both"/>
        <w:rPr>
          <w:rFonts w:ascii="Times New Roman" w:hAnsi="Times New Roman"/>
          <w:sz w:val="24"/>
          <w:lang w:val="en-US"/>
        </w:rPr>
      </w:pPr>
      <w:r w:rsidRPr="003945D4">
        <w:rPr>
          <w:rFonts w:ascii="Times New Roman" w:hAnsi="Times New Roman"/>
          <w:sz w:val="24"/>
          <w:lang w:val="en-US"/>
        </w:rPr>
        <w:t>From the results of Sastyawati's research, it is stated that students who have low logical mathematical intelligence, where the ability to think logically, mathematical calculations and algebraic operations are lacking, causes in answering structured questions, they do not understand and are confused about the meaning of the question (Sastyawati, 2012). This can also be seen from the work of AS subjects, namely the subject has not been able to find a form of solving the problem and has not produced the right answer.</w:t>
      </w:r>
      <w:r w:rsidR="00F8342D">
        <w:rPr>
          <w:rFonts w:ascii="Times New Roman" w:hAnsi="Times New Roman"/>
          <w:sz w:val="24"/>
          <w:lang w:val="en-US"/>
        </w:rPr>
        <w:t xml:space="preserve"> </w:t>
      </w:r>
    </w:p>
    <w:p w14:paraId="6AEB05F4" w14:textId="3E034B8B" w:rsidR="00071473" w:rsidRPr="009D189D" w:rsidRDefault="009D189D" w:rsidP="004E120A">
      <w:pPr>
        <w:autoSpaceDE w:val="0"/>
        <w:autoSpaceDN w:val="0"/>
        <w:adjustRightInd w:val="0"/>
        <w:spacing w:after="0" w:line="240" w:lineRule="auto"/>
        <w:ind w:firstLine="720"/>
        <w:jc w:val="both"/>
        <w:rPr>
          <w:rFonts w:ascii="Times New Roman" w:hAnsi="Times New Roman" w:cs="Times New Roman"/>
          <w:b/>
          <w:sz w:val="24"/>
          <w:lang w:val="en-US"/>
        </w:rPr>
      </w:pPr>
      <w:r>
        <w:rPr>
          <w:rFonts w:ascii="Times New Roman" w:hAnsi="Times New Roman" w:cs="Times New Roman"/>
          <w:sz w:val="24"/>
          <w:lang w:val="en-US"/>
        </w:rPr>
        <w:t xml:space="preserve"> </w:t>
      </w:r>
    </w:p>
    <w:p w14:paraId="55503F73" w14:textId="77777777" w:rsidR="004F2823" w:rsidRDefault="004F2823" w:rsidP="00071473">
      <w:pPr>
        <w:spacing w:after="0" w:line="288" w:lineRule="auto"/>
        <w:jc w:val="both"/>
        <w:rPr>
          <w:rFonts w:ascii="Times New Roman" w:hAnsi="Times New Roman"/>
          <w:b/>
          <w:sz w:val="24"/>
          <w:lang w:val="en-US"/>
        </w:rPr>
      </w:pPr>
    </w:p>
    <w:p w14:paraId="029F0881" w14:textId="4800BCA2" w:rsidR="00071473" w:rsidRPr="00970864" w:rsidRDefault="00071473" w:rsidP="00AE27D4">
      <w:pPr>
        <w:spacing w:after="0" w:line="288" w:lineRule="auto"/>
        <w:rPr>
          <w:rFonts w:ascii="Times New Roman" w:hAnsi="Times New Roman"/>
          <w:b/>
          <w:sz w:val="24"/>
          <w:lang w:val="en-US"/>
        </w:rPr>
      </w:pPr>
      <w:r w:rsidRPr="00340E1B">
        <w:rPr>
          <w:rFonts w:ascii="Times New Roman" w:hAnsi="Times New Roman"/>
          <w:b/>
          <w:sz w:val="24"/>
        </w:rPr>
        <w:t>KESIMPULAN DAN SARAN</w:t>
      </w:r>
    </w:p>
    <w:p w14:paraId="42C01EB1" w14:textId="77777777" w:rsidR="003945D4" w:rsidRPr="003945D4" w:rsidRDefault="003945D4" w:rsidP="003945D4">
      <w:pPr>
        <w:pBdr>
          <w:top w:val="nil"/>
          <w:left w:val="nil"/>
          <w:bottom w:val="nil"/>
          <w:right w:val="nil"/>
          <w:between w:val="nil"/>
        </w:pBdr>
        <w:ind w:firstLine="567"/>
        <w:jc w:val="both"/>
        <w:rPr>
          <w:rFonts w:ascii="Times New Roman" w:hAnsi="Times New Roman" w:cs="Times New Roman"/>
          <w:sz w:val="24"/>
          <w:lang w:val="en-US"/>
        </w:rPr>
      </w:pPr>
      <w:r w:rsidRPr="003945D4">
        <w:rPr>
          <w:rFonts w:ascii="Times New Roman" w:hAnsi="Times New Roman" w:cs="Times New Roman"/>
          <w:sz w:val="24"/>
          <w:lang w:val="en-US"/>
        </w:rPr>
        <w:t>Students who have high mathematical logical intelligence can mention and explain information from questions, can explain the steps for solving problems, can solve problems well and can re-examine the answers. So that subjects who have high mathematical intelligence have no difficulty in working on questions.</w:t>
      </w:r>
    </w:p>
    <w:p w14:paraId="5F6641B8" w14:textId="77777777" w:rsidR="003945D4" w:rsidRPr="003945D4" w:rsidRDefault="003945D4" w:rsidP="003945D4">
      <w:pPr>
        <w:pBdr>
          <w:top w:val="nil"/>
          <w:left w:val="nil"/>
          <w:bottom w:val="nil"/>
          <w:right w:val="nil"/>
          <w:between w:val="nil"/>
        </w:pBdr>
        <w:ind w:firstLine="567"/>
        <w:jc w:val="both"/>
        <w:rPr>
          <w:rFonts w:ascii="Times New Roman" w:hAnsi="Times New Roman" w:cs="Times New Roman"/>
          <w:sz w:val="24"/>
          <w:lang w:val="en-US"/>
        </w:rPr>
      </w:pPr>
      <w:r w:rsidRPr="003945D4">
        <w:rPr>
          <w:rFonts w:ascii="Times New Roman" w:hAnsi="Times New Roman" w:cs="Times New Roman"/>
          <w:sz w:val="24"/>
          <w:lang w:val="en-US"/>
        </w:rPr>
        <w:t>In subjects who have moderate mathematical logical intelligence, can state the information that is known and asked correctly, can explain the method that will be used to solve the problem and can use their knowledge to solve the problem. However, the subject of mathematical logical intelligence is having difficulty in re-examining the answer.</w:t>
      </w:r>
    </w:p>
    <w:p w14:paraId="50CC254F" w14:textId="70F40C61" w:rsidR="003945D4" w:rsidRDefault="003945D4" w:rsidP="003945D4">
      <w:pPr>
        <w:spacing w:after="0" w:line="240" w:lineRule="auto"/>
        <w:ind w:firstLine="720"/>
        <w:jc w:val="both"/>
        <w:rPr>
          <w:rFonts w:ascii="Times New Roman" w:hAnsi="Times New Roman" w:cs="Times New Roman"/>
          <w:sz w:val="24"/>
          <w:lang w:val="en-US"/>
        </w:rPr>
      </w:pPr>
      <w:r w:rsidRPr="003945D4">
        <w:rPr>
          <w:rFonts w:ascii="Times New Roman" w:hAnsi="Times New Roman" w:cs="Times New Roman"/>
          <w:sz w:val="24"/>
          <w:lang w:val="en-US"/>
        </w:rPr>
        <w:lastRenderedPageBreak/>
        <w:t>Subjects who have low mathematical logical intelligence, can explain information that is known from the problem, can explain the steps for solving the problem. However, in its application, the subject of low mathematical logical intelligence has difficulty in solving problems well and has not been able to re-examine the answers.</w:t>
      </w:r>
    </w:p>
    <w:p w14:paraId="286417C1" w14:textId="5F51790D" w:rsidR="00876A28" w:rsidRDefault="00876A28" w:rsidP="00876A28">
      <w:pPr>
        <w:spacing w:after="0" w:line="240" w:lineRule="auto"/>
        <w:ind w:firstLine="720"/>
        <w:jc w:val="both"/>
        <w:rPr>
          <w:rFonts w:ascii="Times New Roman" w:eastAsia="Times New Roman" w:hAnsi="Times New Roman"/>
          <w:sz w:val="24"/>
          <w:szCs w:val="24"/>
          <w:lang w:val="en-US" w:eastAsia="id-ID"/>
        </w:rPr>
      </w:pPr>
    </w:p>
    <w:p w14:paraId="6D89AC36" w14:textId="77777777" w:rsidR="002616BE" w:rsidRPr="002616BE" w:rsidRDefault="002616BE" w:rsidP="0024318F">
      <w:pPr>
        <w:spacing w:after="0" w:line="240" w:lineRule="auto"/>
        <w:jc w:val="both"/>
        <w:rPr>
          <w:rFonts w:ascii="Times New Roman" w:eastAsia="Times New Roman" w:hAnsi="Times New Roman"/>
          <w:sz w:val="24"/>
          <w:szCs w:val="24"/>
          <w:lang w:val="en-US" w:eastAsia="id-ID"/>
        </w:rPr>
      </w:pPr>
    </w:p>
    <w:p w14:paraId="55A08BE0" w14:textId="77777777" w:rsidR="006E6672" w:rsidRPr="004F616E" w:rsidRDefault="006E6672" w:rsidP="00071473">
      <w:pPr>
        <w:autoSpaceDE w:val="0"/>
        <w:autoSpaceDN w:val="0"/>
        <w:adjustRightInd w:val="0"/>
        <w:spacing w:after="0" w:line="240" w:lineRule="auto"/>
        <w:jc w:val="both"/>
        <w:rPr>
          <w:b/>
          <w:sz w:val="12"/>
          <w:lang w:val="en-US"/>
        </w:rPr>
      </w:pPr>
    </w:p>
    <w:p w14:paraId="0B22FEBF" w14:textId="77777777" w:rsidR="00071473" w:rsidRPr="00340E1B" w:rsidRDefault="00071473" w:rsidP="00AE27D4">
      <w:pPr>
        <w:pStyle w:val="ListParagraph1"/>
        <w:spacing w:line="288" w:lineRule="auto"/>
        <w:ind w:left="0"/>
        <w:rPr>
          <w:b/>
          <w:szCs w:val="22"/>
        </w:rPr>
      </w:pPr>
      <w:r w:rsidRPr="00340E1B">
        <w:rPr>
          <w:b/>
          <w:szCs w:val="22"/>
        </w:rPr>
        <w:t>DAFTAR PUSTAKA</w:t>
      </w:r>
    </w:p>
    <w:p w14:paraId="26DB08B9" w14:textId="77777777" w:rsidR="000B18DB" w:rsidRPr="000B18DB" w:rsidRDefault="000B18DB" w:rsidP="000B18DB">
      <w:pPr>
        <w:spacing w:after="0" w:line="240" w:lineRule="auto"/>
        <w:ind w:left="567" w:hanging="567"/>
        <w:jc w:val="both"/>
        <w:rPr>
          <w:rFonts w:ascii="Times New Roman" w:hAnsi="Times New Roman"/>
          <w:noProof/>
          <w:sz w:val="24"/>
          <w:szCs w:val="24"/>
        </w:rPr>
      </w:pPr>
      <w:bookmarkStart w:id="0" w:name="_GoBack"/>
      <w:r w:rsidRPr="000B18DB">
        <w:rPr>
          <w:rFonts w:ascii="Times New Roman" w:hAnsi="Times New Roman"/>
          <w:noProof/>
          <w:sz w:val="24"/>
          <w:szCs w:val="24"/>
        </w:rPr>
        <w:t>Abdurrahman, Mulyono. (2012). Pendidikan Bagi Anak Berkesulitan Belajar. Jakarta: PT Rineka Cipta</w:t>
      </w:r>
    </w:p>
    <w:p w14:paraId="3BEA7294"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Aderholt, R. (2020). Coronavirus outbreak shining an even brighter light on internet disparities in rural America. The Hill. </w:t>
      </w:r>
      <w:hyperlink r:id="rId16" w:history="1">
        <w:r w:rsidRPr="000B18DB">
          <w:rPr>
            <w:rFonts w:ascii="Times New Roman" w:hAnsi="Times New Roman"/>
            <w:sz w:val="24"/>
            <w:szCs w:val="24"/>
          </w:rPr>
          <w:t>https://thehill.com/blogs/congress-blog/technology/488848-coronavirus-outbreak-shining-an-even-brighter-light-on</w:t>
        </w:r>
      </w:hyperlink>
    </w:p>
    <w:p w14:paraId="2C3A7BA6"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Alfeld, P (2004). Understanding Mathematics. Utah: Departemen of Mathematics. University of Utah.Tersedia: http:/www math utah edu/-alfeld/math html. (November 2011).</w:t>
      </w:r>
    </w:p>
    <w:p w14:paraId="5AA647A6"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Anderson, J. (2020). Should schools close when coronavirus cases are still rare. Yahoo!Finance. </w:t>
      </w:r>
      <w:hyperlink r:id="rId17" w:history="1">
        <w:r w:rsidRPr="000B18DB">
          <w:rPr>
            <w:rFonts w:ascii="Times New Roman" w:hAnsi="Times New Roman"/>
            <w:sz w:val="24"/>
            <w:szCs w:val="24"/>
          </w:rPr>
          <w:t>https://finance.yahoo.com/news/schools-close-coronavirus-cases-still-090027702.html</w:t>
        </w:r>
      </w:hyperlink>
    </w:p>
    <w:p w14:paraId="38179BEC"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Azzi-Huck &amp; Shmis. (2020). Managing the impact of COVID-19 on education systems around the world: How countries are preparing, coping, and planning for recovery. World Bank Blogs. </w:t>
      </w:r>
      <w:hyperlink r:id="rId18" w:history="1">
        <w:r w:rsidRPr="000B18DB">
          <w:rPr>
            <w:rFonts w:ascii="Times New Roman" w:hAnsi="Times New Roman"/>
            <w:sz w:val="24"/>
            <w:szCs w:val="24"/>
          </w:rPr>
          <w:t>https://blogs.worldbank.org/education/managing-impact-covid-19-education-systems-around-world-how-countries-are-preparing</w:t>
        </w:r>
      </w:hyperlink>
    </w:p>
    <w:p w14:paraId="7CC586CB"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lastRenderedPageBreak/>
        <w:t>Bell, F. H. (1981). Teaching and learning mathematics (in secondary school), Dubuque: Browm.</w:t>
      </w:r>
    </w:p>
    <w:p w14:paraId="40D126B0"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Ben-Zvi, R., &amp; Hofstein, A. (1996). Improving teaching ang learning in science and mathematics. Columbia: Teachers College</w:t>
      </w:r>
    </w:p>
    <w:p w14:paraId="32C5FB0A"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Blanco, L., &amp; Garotte, M. (2007). Difficulties in learning inequalities in students of first year of pre-university education in spain. EJMSTE, Vol 3, pp.221-229</w:t>
      </w:r>
    </w:p>
    <w:p w14:paraId="703C84F3"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Budiningsih. C. Asri. 2005. Belajar dan Pembelajaran. Jakarta : PT. Rineka Cipta.</w:t>
      </w:r>
    </w:p>
    <w:p w14:paraId="5CC541B5"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Bynner, J. and Parsons, S. (1997). It doesn’t get any better: The impact of poor numeracy skills on the lives of 37-year-olds. London: Basic Skills Agency</w:t>
      </w:r>
    </w:p>
    <w:p w14:paraId="16769818"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Bzufka, M.W., Hein, J. and Neumarker, K.J. (2000). Neuropsychological differentiation of subnormal arithmetic abilities in children. Europaean Child and Adolescent Psychiatry, 9, pp.65-76</w:t>
      </w:r>
    </w:p>
    <w:p w14:paraId="5EB5944D"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Cucinotta, D., &amp; Vanelli, M. (2020). WHO declares COVID-19 a pandemic. Acta Biomedica, 91(1), 157–160. </w:t>
      </w:r>
      <w:hyperlink r:id="rId19" w:history="1">
        <w:r w:rsidRPr="000B18DB">
          <w:rPr>
            <w:rFonts w:ascii="Times New Roman" w:hAnsi="Times New Roman"/>
            <w:sz w:val="24"/>
            <w:szCs w:val="24"/>
          </w:rPr>
          <w:t>https://doi.org/10.23750/abm.v91i1.9397</w:t>
        </w:r>
      </w:hyperlink>
    </w:p>
    <w:p w14:paraId="77074807"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Dowker, A. (2004). What works for children with mathematical difficulties. International Journals in Oxford University, 2-3.</w:t>
      </w:r>
    </w:p>
    <w:p w14:paraId="6D63309F"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Gardner, Howard. 1993. Multiple Intelligences. The Theory In Practice. New York: Basic Books</w:t>
      </w:r>
    </w:p>
    <w:p w14:paraId="114D3C2D"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Goos, M. &amp; Stillman, G. &amp; Vale, C. (2007). Teaching secondary school mathematics: research and practice for the 21st century. Australia:Allen&amp; Unwin</w:t>
      </w:r>
    </w:p>
    <w:p w14:paraId="5B0A39ED"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lastRenderedPageBreak/>
        <w:t>Gross-Tsur, V., Manor, O. and Shalev, R. (1996). Developmental dyscalculia: prevalence and demographic features. Developmental Medicine and Child Neurology, 38, 25-33</w:t>
      </w:r>
    </w:p>
    <w:p w14:paraId="325D200D"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Hasan, B. (2017). Teaching elementary mathematics using power point based screencast O-Matic videos. INA-Rxiv. </w:t>
      </w:r>
      <w:hyperlink r:id="rId20" w:history="1">
        <w:r w:rsidRPr="000B18DB">
          <w:rPr>
            <w:rFonts w:ascii="Times New Roman" w:hAnsi="Times New Roman"/>
            <w:noProof/>
            <w:sz w:val="24"/>
            <w:szCs w:val="24"/>
          </w:rPr>
          <w:t>https://doi.org/10.17605/OSF.IO/728V9</w:t>
        </w:r>
      </w:hyperlink>
    </w:p>
    <w:p w14:paraId="39A35C3A"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Horn, M. B. (2020). COVID-19’s long-term impacts on education in 2020 and beyond. EdSurge. https://www.edsurge.com/news/2020-03-23-covid-19-s-long-term-impacts-on-education-in-2020-and-beyond</w:t>
      </w:r>
    </w:p>
    <w:p w14:paraId="4B15FE2D"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Huang, C., Wang, Y., Li, X., Ren, L., Zhao, J., Hu, Y., Zhang, L., Fan, G., Xu, J., Gu, X., Cheng, Z., Yu, T., Xia, J., Wei, Y., Wu, W., Xie, X., Yin, W., Li, H., Liu, M., … Cao, B. (2020). Clinical features of patients infected with 2019 novel coronavirus in Wuhan, China. The Lancet, 395(10223), 497–506. </w:t>
      </w:r>
      <w:hyperlink r:id="rId21" w:history="1">
        <w:r w:rsidRPr="000B18DB">
          <w:rPr>
            <w:rFonts w:ascii="Times New Roman" w:hAnsi="Times New Roman"/>
            <w:sz w:val="24"/>
            <w:szCs w:val="24"/>
          </w:rPr>
          <w:t>https://doi.org/10.1016/S0140-6736(20)30183-5</w:t>
        </w:r>
      </w:hyperlink>
    </w:p>
    <w:p w14:paraId="25C4EDC6"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Huda, N., &amp; Kencana, A. G. (2013). Analisis kesulitan siswa berdasarkan kemampuan pemahaman dalam menyelesaikan soal cerita pada materi kubus dan balok di kelas VIII SMP Negeri 30 Muaro Jambi. Prosiding Semirata 2013, 1(1).</w:t>
      </w:r>
    </w:p>
    <w:p w14:paraId="0EE28E36"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Jane Gloria, P. K. &amp; Zakaria, E. (2012). Mathematical difficulties among primary school students. Journal Faculty of Education, Universiti Kebangsaan Malaysia, 7, pp.1086-1092.</w:t>
      </w:r>
    </w:p>
    <w:p w14:paraId="247679D2"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Karp, P., &amp; McGowan, M. (2020, March 22). “Clear as mud” </w:t>
      </w:r>
      <w:r w:rsidRPr="000B18DB">
        <w:rPr>
          <w:rFonts w:ascii="Times New Roman" w:hAnsi="Times New Roman"/>
          <w:noProof/>
          <w:sz w:val="24"/>
          <w:szCs w:val="24"/>
        </w:rPr>
        <w:lastRenderedPageBreak/>
        <w:t xml:space="preserve">schools ask for online learning help as coronavirus policy confusion persists Australia news. The Guardian. </w:t>
      </w:r>
      <w:hyperlink r:id="rId22" w:history="1">
        <w:r w:rsidRPr="000B18DB">
          <w:rPr>
            <w:rFonts w:ascii="Times New Roman" w:hAnsi="Times New Roman"/>
            <w:sz w:val="24"/>
            <w:szCs w:val="24"/>
          </w:rPr>
          <w:t>https://www.theguardian.com/australia-news/2020/mar/24/clear-as-mud-schools-ask-for-online-learning-help-as-coronavirus-policy-confusion-persists</w:t>
        </w:r>
      </w:hyperlink>
    </w:p>
    <w:p w14:paraId="702C3CB6"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Lewis, C., Hitch, G.J. &amp; Walker, P. (1994). The prevalence of specific arithmetical difficulties in 9-to 10-year-old boys and girls. Journal of Child Psychology and Psychiatry, 35, pp.283-292.</w:t>
      </w:r>
    </w:p>
    <w:p w14:paraId="6C2200A2"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Lloyd-Sherlock, P., Ebrahim, S., Geffen, L., &amp; McKee, M. (2020). Bearing the brunt of covid-19: Older people in low and middle income countries. The BMJ, 368(March), 1–2. </w:t>
      </w:r>
      <w:hyperlink r:id="rId23" w:history="1">
        <w:r w:rsidRPr="000B18DB">
          <w:rPr>
            <w:rFonts w:ascii="Times New Roman" w:hAnsi="Times New Roman"/>
            <w:sz w:val="24"/>
            <w:szCs w:val="24"/>
          </w:rPr>
          <w:t>https://doi.org/10.1136/bmj.m1052</w:t>
        </w:r>
      </w:hyperlink>
    </w:p>
    <w:p w14:paraId="6F7F440E"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Luna, C. A, &amp; Fuscablo, L. G. (2002). Enhancement of student problem solving performance thtough mathematical symbolism. JRME, Vol 5., pp.1-11</w:t>
      </w:r>
    </w:p>
    <w:p w14:paraId="0062BB03"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Lwin, May, dkk. 2008. How to Multiply Your Child’s Intelligence. Yogyakarta : Penerbit Indeks.</w:t>
      </w:r>
    </w:p>
    <w:p w14:paraId="66AD012F"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Mahase, E. (2020). Coronavirus: covid-19 has killed more people than SARS and MERS combined, despite lower case fatality rate. BMJ, m641. https://doi.org/10.1136/bmj.m641</w:t>
      </w:r>
    </w:p>
    <w:p w14:paraId="16135087"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Muthuchamy, I., &amp; Thiyagu, K. (2011). Technology and teaching: Learning skills. Gyan Publishing House</w:t>
      </w:r>
    </w:p>
    <w:p w14:paraId="7E0514D8"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OSPI. (2020). Novel coronavirus (COVID-19) in K-12 Sschools: A parent guide. 1–3. </w:t>
      </w:r>
      <w:hyperlink r:id="rId24" w:history="1">
        <w:r w:rsidRPr="000B18DB">
          <w:rPr>
            <w:rFonts w:ascii="Times New Roman" w:hAnsi="Times New Roman"/>
            <w:sz w:val="24"/>
            <w:szCs w:val="24"/>
          </w:rPr>
          <w:t>https://www.k12.wa.us/sites/default/files/public/communications/C</w:t>
        </w:r>
        <w:r w:rsidRPr="000B18DB">
          <w:rPr>
            <w:rFonts w:ascii="Times New Roman" w:hAnsi="Times New Roman"/>
            <w:sz w:val="24"/>
            <w:szCs w:val="24"/>
          </w:rPr>
          <w:lastRenderedPageBreak/>
          <w:t>OVID-19 in Schools_Parent Guide.pdf</w:t>
        </w:r>
      </w:hyperlink>
    </w:p>
    <w:p w14:paraId="23FD9F74"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Polya, G. (1981). Mathematical discovery on understanding, learning, and teaching problem solving. Canada: John &amp; Sons.</w:t>
      </w:r>
    </w:p>
    <w:p w14:paraId="53DAD7B7"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Romberg &amp; Shafer. (2007). Teaching and learning mathematics with understanding. Dalam E. Fennema &amp; T.A. Romberg (Eds.), Mathematics classrooms that promote understanding (pp.159-184). Mahwah, NJ: Taylor &amp; Francis e-Library</w:t>
      </w:r>
    </w:p>
    <w:p w14:paraId="0D9278A0"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Romberg, T. A., &amp; Kaput, J. J. (2009). Mathematics worth teaching, mathematics worth understanding. Dalam E. Fennema &amp; T.A. Romberg (Eds.), Mathematics classrooms that promote understanding (pp.3-18). Mahwah, NJ: Taylor &amp; Francis e-Library.</w:t>
      </w:r>
    </w:p>
    <w:p w14:paraId="472A503E"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Rose M.C &amp; Arline B.C. (2009). Uncovering student thinking in mathematics grades 6-12. California: Corwin Press.</w:t>
      </w:r>
    </w:p>
    <w:p w14:paraId="3D552441"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Rosenberg, M. J., &amp; Foshay, R. (2002). E-learning: Strategies for delivering knowledge in the digital age. Performance Improvement, 41(5), 50–51. </w:t>
      </w:r>
      <w:hyperlink r:id="rId25" w:history="1">
        <w:r w:rsidRPr="000B18DB">
          <w:rPr>
            <w:rFonts w:ascii="Times New Roman" w:hAnsi="Times New Roman"/>
            <w:noProof/>
            <w:sz w:val="24"/>
            <w:szCs w:val="24"/>
          </w:rPr>
          <w:t>https://doi.org/10.1002/pfi.4140410512</w:t>
        </w:r>
      </w:hyperlink>
    </w:p>
    <w:p w14:paraId="065CA144"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Sastyawati, N. N. S. B. (2012). Pengaruh Model Pembelajaran Penemuan Terbimbing Berbasis LKS terhadap Hasil Belajar Matematika Siswa Ditinjau dari Kecerdasan Logis Matematis pada Siswa Kelas X SMA N 1 Bangli. Jurnal Administrasi Pendidikan Indonesia. 2(2), 1–17.</w:t>
      </w:r>
    </w:p>
    <w:p w14:paraId="2AA36467"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Setiaji, B., &amp; Dinata, P. A. C. (2020). Analisis kesiapan mahasiswa jurusan pendidikan fisika menggunakan e-learning dalam </w:t>
      </w:r>
      <w:r w:rsidRPr="000B18DB">
        <w:rPr>
          <w:rFonts w:ascii="Times New Roman" w:hAnsi="Times New Roman"/>
          <w:noProof/>
          <w:sz w:val="24"/>
          <w:szCs w:val="24"/>
        </w:rPr>
        <w:lastRenderedPageBreak/>
        <w:t>situasi pandemi Covid-19. Jurnal Inovasi Pendidikan IPA, 6(1), 59-70.</w:t>
      </w:r>
    </w:p>
    <w:p w14:paraId="594F8DD2"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Setiawan, R., Mardapi, D., Pratama, A., &amp; Ramadan, S. (2019). Efektivitas blended learning dalam inovasi pendidikan era industri 4.0 pada mata kuliah teori tes klasik. Jurnal Inovasi Teknologi Pendidikan. </w:t>
      </w:r>
      <w:hyperlink r:id="rId26" w:history="1">
        <w:r w:rsidRPr="000B18DB">
          <w:rPr>
            <w:rFonts w:ascii="Times New Roman" w:hAnsi="Times New Roman"/>
            <w:noProof/>
            <w:sz w:val="24"/>
            <w:szCs w:val="24"/>
          </w:rPr>
          <w:t>https://doi.org/10.21831/jitp.v6i2.27259</w:t>
        </w:r>
      </w:hyperlink>
    </w:p>
    <w:p w14:paraId="5C00994A"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Setyoningsih, S. (2015). E Learning: Pembelajaran interaktif berbasis teknologi informasi. ELEMENTARY: Islamic Teacher Journal, 3(1). </w:t>
      </w:r>
      <w:hyperlink r:id="rId27" w:history="1">
        <w:r w:rsidRPr="000B18DB">
          <w:rPr>
            <w:rFonts w:ascii="Times New Roman" w:hAnsi="Times New Roman"/>
            <w:noProof/>
            <w:sz w:val="24"/>
            <w:szCs w:val="24"/>
          </w:rPr>
          <w:t>https://doi.org/10.21043/elementary.v3i1.1443</w:t>
        </w:r>
      </w:hyperlink>
    </w:p>
    <w:p w14:paraId="1E058A38"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Shawar, B. A. A., &amp; Al-Sadi, J. A. (2010). Learning management systems: Are they knowledge management tools? International Journal of Emerging Technologies in Learning (IJET), 5(1). </w:t>
      </w:r>
      <w:hyperlink r:id="rId28" w:history="1">
        <w:r w:rsidRPr="000B18DB">
          <w:rPr>
            <w:rFonts w:ascii="Times New Roman" w:hAnsi="Times New Roman"/>
            <w:noProof/>
            <w:sz w:val="24"/>
            <w:szCs w:val="24"/>
          </w:rPr>
          <w:t>https://doi.org/10.3991/ijet.v5i1.887</w:t>
        </w:r>
      </w:hyperlink>
    </w:p>
    <w:p w14:paraId="5594541E"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Shereen, M. A., Khan, S., Kazmi, A., Bashir, N., &amp; Siddique, R. (2020). COVID-19 infection: Emergence, transmission, and characteristics of human coronaviruses. Journal of Advanced Research, 24, 91–98. </w:t>
      </w:r>
      <w:hyperlink r:id="rId29" w:history="1">
        <w:r w:rsidRPr="000B18DB">
          <w:rPr>
            <w:rFonts w:ascii="Times New Roman" w:hAnsi="Times New Roman"/>
            <w:sz w:val="24"/>
            <w:szCs w:val="24"/>
          </w:rPr>
          <w:t>https://doi.org/10.1016/j.jare.2020.03.005</w:t>
        </w:r>
      </w:hyperlink>
    </w:p>
    <w:p w14:paraId="366BF192"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Skemp, R. (1971). The psychology of learning mathematics. Australia: Pelican books.</w:t>
      </w:r>
    </w:p>
    <w:p w14:paraId="661F2C61"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Sohrabi, C., Alsafi, Z., O’Neill, N., Khan, M., Kerwan, A., Al-Jabir, A., Iosifidis, C., &amp; Agha, R. (2020). World Health Organization declares global emergency: A review of the 2019 novel coronavirus (COVID-19). International Journal of Surgery, 76, 71–76. </w:t>
      </w:r>
      <w:hyperlink r:id="rId30" w:history="1">
        <w:r w:rsidRPr="000B18DB">
          <w:rPr>
            <w:rFonts w:ascii="Times New Roman" w:hAnsi="Times New Roman"/>
            <w:sz w:val="24"/>
            <w:szCs w:val="24"/>
          </w:rPr>
          <w:t>https://doi.org/10.1016/j.ijsu.2020.02.034</w:t>
        </w:r>
      </w:hyperlink>
    </w:p>
    <w:p w14:paraId="54F663DF"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Sudirman, S., Cahyono, E., &amp; Kadir, K. (2019). Analisis Kemampuan Koneksi Matematis Siswa SMP Pesisir Ditinjau Dari Perbedaan Gender. Jurnal Pembelajaran Berpikir Matematika, 3(2).</w:t>
      </w:r>
    </w:p>
    <w:p w14:paraId="0B624BAA"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Sugiyono. (2013). Metode Penelitian Kuantitatif, Kualitatif dan R&amp;D. Bandung: Alfabeta.</w:t>
      </w:r>
    </w:p>
    <w:p w14:paraId="54FD7094"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Susanti, V. D. (2018). Analisis kemampuan kognitif dalam pemecahan masalah berdasarkan kecerdasan logis-matematis. JMPM: Jurnal Matematika dan Pendidikan Matematika, 3(1), 71-83.</w:t>
      </w:r>
    </w:p>
    <w:p w14:paraId="19D4C3F8"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Ulya, H. (2015). Hubungan Gaya Kognitif dengan Kemampuan Pemecahan Masalah Matematika Siswa. Jurnal Konseling GUSJIGANG, 1(2), 2011– 2036.</w:t>
      </w:r>
    </w:p>
    <w:p w14:paraId="126ED1A5"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UNESCO. (2020a). Distance learning solutions. UNESCO’s COVID-19 Education Response. </w:t>
      </w:r>
      <w:hyperlink r:id="rId31" w:history="1">
        <w:r w:rsidRPr="000B18DB">
          <w:rPr>
            <w:rFonts w:ascii="Times New Roman" w:hAnsi="Times New Roman"/>
            <w:sz w:val="24"/>
            <w:szCs w:val="24"/>
          </w:rPr>
          <w:t>https://en.unesco.org/covid19/educationresponse/solutions</w:t>
        </w:r>
      </w:hyperlink>
    </w:p>
    <w:p w14:paraId="406D6488"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US Department of Health and Enviromental Control. (2019). Higher Education Guidance on Novel Coronavirus or Guidance for IHE that do not have COVID-19 identified in their community. 2019.</w:t>
      </w:r>
    </w:p>
    <w:p w14:paraId="3FB69B16"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Wahyono, P., Husamah, H., &amp; Budi, A. S. (2020). Guru profesional di masa pandemi COVID-19: Review implementasi, tantangan, dan solusi pembelajaran daring. Jurnal Pendidikan Profesi Guru, 1(1), 51–65. </w:t>
      </w:r>
      <w:hyperlink r:id="rId32" w:history="1">
        <w:r w:rsidRPr="000B18DB">
          <w:rPr>
            <w:rFonts w:ascii="Times New Roman" w:hAnsi="Times New Roman"/>
            <w:sz w:val="24"/>
            <w:szCs w:val="24"/>
          </w:rPr>
          <w:t>http://ejournal.umm.ac.id/index.php/jppg/article/view/12462</w:t>
        </w:r>
      </w:hyperlink>
    </w:p>
    <w:p w14:paraId="5B686120"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Watkins, J. (2020). Preventing a covid-19 pandemic. BMJ, m810. </w:t>
      </w:r>
      <w:hyperlink r:id="rId33" w:history="1">
        <w:r w:rsidRPr="000B18DB">
          <w:rPr>
            <w:rFonts w:ascii="Times New Roman" w:hAnsi="Times New Roman"/>
            <w:sz w:val="24"/>
            <w:szCs w:val="24"/>
          </w:rPr>
          <w:t>https://doi.org/10.1136/bmj.m810</w:t>
        </w:r>
      </w:hyperlink>
    </w:p>
    <w:p w14:paraId="4E62E310"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lastRenderedPageBreak/>
        <w:t>Willis, Jody Kenny dan Johnson, Aostre. 2001. Multiply using multiple intelligences, (Online)</w:t>
      </w:r>
    </w:p>
    <w:p w14:paraId="42ADBFDE"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Worldometers. (2020). COVID-19 coronavirus pandemic. Coronavirus. Worldometers. https://www.worldometers.info/coronavirus/</w:t>
      </w:r>
    </w:p>
    <w:p w14:paraId="1EA6866F"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Yan, W. (2020). How will COVID-19 impact global education. China Daily. https://news.cgtn.com/news/2020-03-16/How-will-COVID-19-impact-global-education--OTZKvx8tbO/index.html</w:t>
      </w:r>
    </w:p>
    <w:p w14:paraId="7580218B"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Yaumi. 2012. Pembelajaran Berbasis Multiple Intelligences. Jakarta: Dian Rakyat.</w:t>
      </w:r>
    </w:p>
    <w:p w14:paraId="4F93CDCD" w14:textId="77777777" w:rsidR="000B18DB" w:rsidRPr="000B18DB" w:rsidRDefault="000B18DB" w:rsidP="000B18DB">
      <w:pPr>
        <w:spacing w:after="0" w:line="240" w:lineRule="auto"/>
        <w:ind w:left="567" w:hanging="567"/>
        <w:jc w:val="both"/>
        <w:rPr>
          <w:rFonts w:ascii="Times New Roman" w:hAnsi="Times New Roman"/>
          <w:noProof/>
          <w:sz w:val="24"/>
          <w:szCs w:val="24"/>
        </w:rPr>
      </w:pPr>
      <w:r w:rsidRPr="000B18DB">
        <w:rPr>
          <w:rFonts w:ascii="Times New Roman" w:hAnsi="Times New Roman"/>
          <w:noProof/>
          <w:sz w:val="24"/>
          <w:szCs w:val="24"/>
        </w:rPr>
        <w:t xml:space="preserve">Zhang, J., Dong, X., Cao, Y., Yuan, Y., Yang, Y., Yan, Y., Akdis, C. A., &amp; Gao, Y. (2020). Clinical characteristics of 140 patients infected with SARS‐CoV‐2 in Wuhan, China. Allergy, 75(7), 1730–1741. </w:t>
      </w:r>
      <w:hyperlink r:id="rId34" w:history="1">
        <w:r w:rsidRPr="000B18DB">
          <w:rPr>
            <w:rFonts w:ascii="Times New Roman" w:hAnsi="Times New Roman"/>
            <w:sz w:val="24"/>
            <w:szCs w:val="24"/>
          </w:rPr>
          <w:t>https://doi.org/10.1111/all.14238</w:t>
        </w:r>
      </w:hyperlink>
    </w:p>
    <w:p w14:paraId="38C6348E" w14:textId="6C9B4568" w:rsidR="000B18DB" w:rsidRPr="000B18DB" w:rsidRDefault="000B18DB" w:rsidP="000B18DB">
      <w:pPr>
        <w:spacing w:after="0" w:line="240" w:lineRule="auto"/>
        <w:ind w:left="567" w:hanging="567"/>
        <w:jc w:val="both"/>
        <w:rPr>
          <w:rFonts w:ascii="Times New Roman" w:hAnsi="Times New Roman"/>
          <w:noProof/>
          <w:sz w:val="24"/>
          <w:szCs w:val="24"/>
          <w:lang w:val="en-US"/>
        </w:rPr>
      </w:pPr>
      <w:r w:rsidRPr="000B18DB">
        <w:rPr>
          <w:rFonts w:ascii="Times New Roman" w:hAnsi="Times New Roman"/>
          <w:noProof/>
          <w:sz w:val="24"/>
          <w:szCs w:val="24"/>
        </w:rPr>
        <w:t xml:space="preserve">Zhao, S., Lin, Q., Ran, J., Musa, S. S., Yang, G., Wang, W., Lou, Y., Gao, D., Yang, L., He, D., &amp; Wang, M. H. (2020). Preliminary estimation of the basic reproduction number of novel coronavirus (2019-nCoV) in China, from 2019 to 2020: A data-driven analysis in the early phase of the outbreak. International Journal of Infectious Diseases, 92, 214–217. </w:t>
      </w:r>
      <w:hyperlink r:id="rId35" w:history="1">
        <w:r w:rsidRPr="000B18DB">
          <w:rPr>
            <w:rFonts w:ascii="Times New Roman" w:hAnsi="Times New Roman"/>
            <w:sz w:val="24"/>
            <w:szCs w:val="24"/>
          </w:rPr>
          <w:t>https://doi.org/10.1016/j.ijid.2020.01.050</w:t>
        </w:r>
      </w:hyperlink>
      <w:bookmarkEnd w:id="0"/>
    </w:p>
    <w:p w14:paraId="669829B4" w14:textId="203A2F71" w:rsidR="002616BE" w:rsidRDefault="002616BE" w:rsidP="00B91448">
      <w:pPr>
        <w:spacing w:line="240" w:lineRule="auto"/>
        <w:jc w:val="both"/>
        <w:rPr>
          <w:rFonts w:ascii="Times New Roman" w:hAnsi="Times New Roman" w:cs="Times New Roman"/>
          <w:sz w:val="24"/>
          <w:lang w:val="en-US"/>
        </w:rPr>
      </w:pPr>
    </w:p>
    <w:p w14:paraId="733AB393" w14:textId="2E081114" w:rsidR="001970F2" w:rsidRDefault="001970F2" w:rsidP="00B91448">
      <w:pPr>
        <w:spacing w:line="240" w:lineRule="auto"/>
        <w:jc w:val="both"/>
        <w:rPr>
          <w:rFonts w:ascii="Times New Roman" w:hAnsi="Times New Roman" w:cs="Times New Roman"/>
          <w:sz w:val="24"/>
          <w:lang w:val="en-US"/>
        </w:rPr>
      </w:pPr>
    </w:p>
    <w:p w14:paraId="0683FDB7" w14:textId="10A919F8" w:rsidR="001970F2" w:rsidRDefault="001970F2" w:rsidP="00B91448">
      <w:pPr>
        <w:spacing w:line="240" w:lineRule="auto"/>
        <w:jc w:val="both"/>
        <w:rPr>
          <w:rFonts w:ascii="Times New Roman" w:hAnsi="Times New Roman" w:cs="Times New Roman"/>
          <w:sz w:val="24"/>
          <w:lang w:val="en-US"/>
        </w:rPr>
      </w:pPr>
    </w:p>
    <w:p w14:paraId="4255F352" w14:textId="76645B6A" w:rsidR="001970F2" w:rsidRDefault="001970F2" w:rsidP="00B91448">
      <w:pPr>
        <w:spacing w:line="240" w:lineRule="auto"/>
        <w:jc w:val="both"/>
        <w:rPr>
          <w:rFonts w:ascii="Times New Roman" w:hAnsi="Times New Roman" w:cs="Times New Roman"/>
          <w:sz w:val="24"/>
          <w:lang w:val="en-US"/>
        </w:rPr>
      </w:pPr>
    </w:p>
    <w:sectPr w:rsidR="001970F2"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1D1C8" w14:textId="77777777" w:rsidR="00813946" w:rsidRDefault="00813946" w:rsidP="00876A28">
      <w:pPr>
        <w:spacing w:after="0" w:line="240" w:lineRule="auto"/>
      </w:pPr>
      <w:r>
        <w:separator/>
      </w:r>
    </w:p>
  </w:endnote>
  <w:endnote w:type="continuationSeparator" w:id="0">
    <w:p w14:paraId="555707E0" w14:textId="77777777" w:rsidR="00813946" w:rsidRDefault="00813946"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proofErr w:type="spellStart"/>
        <w:r>
          <w:rPr>
            <w:rFonts w:ascii="Times New Roman" w:hAnsi="Times New Roman" w:cs="Times New Roman"/>
            <w:sz w:val="20"/>
            <w:szCs w:val="20"/>
          </w:rPr>
          <w:t>Aksioma</w:t>
        </w:r>
        <w:proofErr w:type="spellEnd"/>
      </w:p>
      <w:p w14:paraId="389A727F"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Pendidikan</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Matematika</w:t>
        </w:r>
        <w:proofErr w:type="spellEnd"/>
        <w:r>
          <w:rPr>
            <w:rFonts w:ascii="Times New Roman" w:hAnsi="Times New Roman" w:cs="Times New Roman"/>
            <w:sz w:val="18"/>
            <w:szCs w:val="18"/>
          </w:rPr>
          <w:t xml:space="preserve"> FKIP Univ. Muhammadiyah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7E3655" w14:textId="77777777" w:rsidR="00813946" w:rsidRDefault="00813946" w:rsidP="00876A28">
      <w:pPr>
        <w:spacing w:after="0" w:line="240" w:lineRule="auto"/>
      </w:pPr>
      <w:r>
        <w:separator/>
      </w:r>
    </w:p>
  </w:footnote>
  <w:footnote w:type="continuationSeparator" w:id="0">
    <w:p w14:paraId="7E992482" w14:textId="77777777" w:rsidR="00813946" w:rsidRDefault="00813946"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F1D9B"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B3872"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14:paraId="489B7CFF" w14:textId="77777777" w:rsidR="003D6122" w:rsidRPr="003D6122" w:rsidRDefault="003D6122" w:rsidP="003A2532">
    <w:pPr>
      <w:pStyle w:val="Header"/>
      <w:rPr>
        <w:rFonts w:ascii="Times New Roman"/>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D175A9"/>
    <w:multiLevelType w:val="multilevel"/>
    <w:tmpl w:val="6B809DCC"/>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1142"/>
    <w:rsid w:val="00027461"/>
    <w:rsid w:val="000459B8"/>
    <w:rsid w:val="00052E15"/>
    <w:rsid w:val="00055F92"/>
    <w:rsid w:val="00071473"/>
    <w:rsid w:val="0007215F"/>
    <w:rsid w:val="00075288"/>
    <w:rsid w:val="00080C74"/>
    <w:rsid w:val="0009344C"/>
    <w:rsid w:val="000B18DB"/>
    <w:rsid w:val="000B6029"/>
    <w:rsid w:val="000C551A"/>
    <w:rsid w:val="000E6ED2"/>
    <w:rsid w:val="000F2AD9"/>
    <w:rsid w:val="00112181"/>
    <w:rsid w:val="00115709"/>
    <w:rsid w:val="00132927"/>
    <w:rsid w:val="001332D7"/>
    <w:rsid w:val="0014136C"/>
    <w:rsid w:val="001813C3"/>
    <w:rsid w:val="00191BBA"/>
    <w:rsid w:val="001970F2"/>
    <w:rsid w:val="001A135A"/>
    <w:rsid w:val="001A351B"/>
    <w:rsid w:val="001B7132"/>
    <w:rsid w:val="001D1D55"/>
    <w:rsid w:val="001E0294"/>
    <w:rsid w:val="001F17DF"/>
    <w:rsid w:val="001F4E78"/>
    <w:rsid w:val="00210EE8"/>
    <w:rsid w:val="00216483"/>
    <w:rsid w:val="0024318F"/>
    <w:rsid w:val="00253913"/>
    <w:rsid w:val="002616BE"/>
    <w:rsid w:val="00272F77"/>
    <w:rsid w:val="002A5ABA"/>
    <w:rsid w:val="002C4589"/>
    <w:rsid w:val="002D1CB5"/>
    <w:rsid w:val="002D7B1E"/>
    <w:rsid w:val="00322857"/>
    <w:rsid w:val="00323915"/>
    <w:rsid w:val="0032764F"/>
    <w:rsid w:val="00332D2F"/>
    <w:rsid w:val="003364B5"/>
    <w:rsid w:val="00340E1B"/>
    <w:rsid w:val="00351030"/>
    <w:rsid w:val="00365E26"/>
    <w:rsid w:val="00366490"/>
    <w:rsid w:val="0037426C"/>
    <w:rsid w:val="00390EE3"/>
    <w:rsid w:val="003945D4"/>
    <w:rsid w:val="003A2532"/>
    <w:rsid w:val="003C1867"/>
    <w:rsid w:val="003D4495"/>
    <w:rsid w:val="003D526E"/>
    <w:rsid w:val="003D6122"/>
    <w:rsid w:val="003E0D6E"/>
    <w:rsid w:val="003F1982"/>
    <w:rsid w:val="004002F1"/>
    <w:rsid w:val="00402FA0"/>
    <w:rsid w:val="00413731"/>
    <w:rsid w:val="004155DE"/>
    <w:rsid w:val="00441A1E"/>
    <w:rsid w:val="00463DB3"/>
    <w:rsid w:val="004671F0"/>
    <w:rsid w:val="00485CEA"/>
    <w:rsid w:val="00495A66"/>
    <w:rsid w:val="00495E76"/>
    <w:rsid w:val="004C0443"/>
    <w:rsid w:val="004E108D"/>
    <w:rsid w:val="004E120A"/>
    <w:rsid w:val="004F2823"/>
    <w:rsid w:val="004F616E"/>
    <w:rsid w:val="00503B12"/>
    <w:rsid w:val="0050411D"/>
    <w:rsid w:val="00505A04"/>
    <w:rsid w:val="00507349"/>
    <w:rsid w:val="00513456"/>
    <w:rsid w:val="00526B30"/>
    <w:rsid w:val="005515AF"/>
    <w:rsid w:val="00551A95"/>
    <w:rsid w:val="00562671"/>
    <w:rsid w:val="005718AA"/>
    <w:rsid w:val="00587928"/>
    <w:rsid w:val="0059672C"/>
    <w:rsid w:val="005B1A7A"/>
    <w:rsid w:val="005C4BE7"/>
    <w:rsid w:val="005C620E"/>
    <w:rsid w:val="005F6B43"/>
    <w:rsid w:val="0060512F"/>
    <w:rsid w:val="00617031"/>
    <w:rsid w:val="00637D80"/>
    <w:rsid w:val="00641572"/>
    <w:rsid w:val="00646764"/>
    <w:rsid w:val="006B103A"/>
    <w:rsid w:val="006B1C7E"/>
    <w:rsid w:val="006D3046"/>
    <w:rsid w:val="006E6672"/>
    <w:rsid w:val="006E713E"/>
    <w:rsid w:val="00710513"/>
    <w:rsid w:val="00721370"/>
    <w:rsid w:val="00732148"/>
    <w:rsid w:val="00736225"/>
    <w:rsid w:val="007416C8"/>
    <w:rsid w:val="0076667C"/>
    <w:rsid w:val="00767184"/>
    <w:rsid w:val="007C3C14"/>
    <w:rsid w:val="007E29D0"/>
    <w:rsid w:val="007F0C31"/>
    <w:rsid w:val="00813946"/>
    <w:rsid w:val="00845EC2"/>
    <w:rsid w:val="008670BC"/>
    <w:rsid w:val="00876A28"/>
    <w:rsid w:val="008777C9"/>
    <w:rsid w:val="008A2CD4"/>
    <w:rsid w:val="008C4542"/>
    <w:rsid w:val="008D22CE"/>
    <w:rsid w:val="008D2AF9"/>
    <w:rsid w:val="008D3F90"/>
    <w:rsid w:val="008D42EB"/>
    <w:rsid w:val="00902613"/>
    <w:rsid w:val="00902F94"/>
    <w:rsid w:val="009225E1"/>
    <w:rsid w:val="00935A75"/>
    <w:rsid w:val="00936CC6"/>
    <w:rsid w:val="00962F99"/>
    <w:rsid w:val="00965688"/>
    <w:rsid w:val="00970864"/>
    <w:rsid w:val="0097567B"/>
    <w:rsid w:val="00985580"/>
    <w:rsid w:val="0099753E"/>
    <w:rsid w:val="009B2BDF"/>
    <w:rsid w:val="009D189D"/>
    <w:rsid w:val="009F5B63"/>
    <w:rsid w:val="00A02C8E"/>
    <w:rsid w:val="00A41BF7"/>
    <w:rsid w:val="00A571AE"/>
    <w:rsid w:val="00A6412B"/>
    <w:rsid w:val="00A73F4A"/>
    <w:rsid w:val="00A81F90"/>
    <w:rsid w:val="00A826E8"/>
    <w:rsid w:val="00A82ACA"/>
    <w:rsid w:val="00AB4130"/>
    <w:rsid w:val="00AE27D4"/>
    <w:rsid w:val="00B236E2"/>
    <w:rsid w:val="00B4283E"/>
    <w:rsid w:val="00B53C1A"/>
    <w:rsid w:val="00B546BE"/>
    <w:rsid w:val="00B86F6C"/>
    <w:rsid w:val="00B91448"/>
    <w:rsid w:val="00B93795"/>
    <w:rsid w:val="00BD0F89"/>
    <w:rsid w:val="00BD5604"/>
    <w:rsid w:val="00BE455A"/>
    <w:rsid w:val="00C36AC3"/>
    <w:rsid w:val="00C377EA"/>
    <w:rsid w:val="00C85C52"/>
    <w:rsid w:val="00C90B36"/>
    <w:rsid w:val="00CC219E"/>
    <w:rsid w:val="00CC4526"/>
    <w:rsid w:val="00CC494B"/>
    <w:rsid w:val="00CC6AC4"/>
    <w:rsid w:val="00CD61EC"/>
    <w:rsid w:val="00CE0C13"/>
    <w:rsid w:val="00D018BA"/>
    <w:rsid w:val="00D10062"/>
    <w:rsid w:val="00D152E1"/>
    <w:rsid w:val="00D17815"/>
    <w:rsid w:val="00D228A1"/>
    <w:rsid w:val="00D2401F"/>
    <w:rsid w:val="00D66B88"/>
    <w:rsid w:val="00D77877"/>
    <w:rsid w:val="00D81360"/>
    <w:rsid w:val="00D93E64"/>
    <w:rsid w:val="00DB61A9"/>
    <w:rsid w:val="00DD6D38"/>
    <w:rsid w:val="00E371E5"/>
    <w:rsid w:val="00E47D0B"/>
    <w:rsid w:val="00E61EB2"/>
    <w:rsid w:val="00E715A5"/>
    <w:rsid w:val="00E7292B"/>
    <w:rsid w:val="00E75587"/>
    <w:rsid w:val="00E933F3"/>
    <w:rsid w:val="00EB3DD2"/>
    <w:rsid w:val="00ED1E96"/>
    <w:rsid w:val="00EF5420"/>
    <w:rsid w:val="00F459E2"/>
    <w:rsid w:val="00F7117A"/>
    <w:rsid w:val="00F72B9A"/>
    <w:rsid w:val="00F734E2"/>
    <w:rsid w:val="00F8342D"/>
    <w:rsid w:val="00F94C00"/>
    <w:rsid w:val="00FA7845"/>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15:docId w15:val="{F81B6D26-D7AD-48A9-BD9F-EBB4DE9B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NormalWeb">
    <w:name w:val="Normal (Web)"/>
    <w:basedOn w:val="Normal"/>
    <w:uiPriority w:val="99"/>
    <w:semiHidden/>
    <w:unhideWhenUsed/>
    <w:rsid w:val="003945D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a.mathedu@unipma.ac.id" TargetMode="External"/><Relationship Id="rId13" Type="http://schemas.openxmlformats.org/officeDocument/2006/relationships/footer" Target="footer1.xml"/><Relationship Id="rId18" Type="http://schemas.openxmlformats.org/officeDocument/2006/relationships/hyperlink" Target="https://blogs.worldbank.org/education/managing-impact-covid-19-education-systems-around-world-how-countries-are-preparing" TargetMode="External"/><Relationship Id="rId26" Type="http://schemas.openxmlformats.org/officeDocument/2006/relationships/hyperlink" Target="https://doi.org/10.21831/jitp.v6i2.27259" TargetMode="External"/><Relationship Id="rId3" Type="http://schemas.openxmlformats.org/officeDocument/2006/relationships/styles" Target="styles.xml"/><Relationship Id="rId21" Type="http://schemas.openxmlformats.org/officeDocument/2006/relationships/hyperlink" Target="https://doi.org/10.1016/S0140-6736(20)30183-5" TargetMode="External"/><Relationship Id="rId34" Type="http://schemas.openxmlformats.org/officeDocument/2006/relationships/hyperlink" Target="https://doi.org/10.1111/all.14238"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finance.yahoo.com/news/schools-close-coronavirus-cases-still-090027702.html" TargetMode="External"/><Relationship Id="rId25" Type="http://schemas.openxmlformats.org/officeDocument/2006/relationships/hyperlink" Target="https://doi.org/10.1002/pfi.4140410512" TargetMode="External"/><Relationship Id="rId33" Type="http://schemas.openxmlformats.org/officeDocument/2006/relationships/hyperlink" Target="https://doi.org/10.1136/bmj.m810" TargetMode="External"/><Relationship Id="rId2" Type="http://schemas.openxmlformats.org/officeDocument/2006/relationships/numbering" Target="numbering.xml"/><Relationship Id="rId16" Type="http://schemas.openxmlformats.org/officeDocument/2006/relationships/hyperlink" Target="https://thehill.com/blogs/congress-blog/technology/488848-coronavirus-outbreak-shining-an-even-brighter-light-on" TargetMode="External"/><Relationship Id="rId20" Type="http://schemas.openxmlformats.org/officeDocument/2006/relationships/hyperlink" Target="https://doi.org/10.17605/OSF.IO/728V9" TargetMode="External"/><Relationship Id="rId29" Type="http://schemas.openxmlformats.org/officeDocument/2006/relationships/hyperlink" Target="https://doi.org/10.1016/j.jare.2020.03.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k12.wa.us/sites/default/files/public/communications/COVID-19%20in%20Schools_Parent%20Guide.pdf" TargetMode="External"/><Relationship Id="rId32" Type="http://schemas.openxmlformats.org/officeDocument/2006/relationships/hyperlink" Target="http://ejournal.umm.ac.id/index.php/jppg/article/view/12462"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1136/bmj.m1052" TargetMode="External"/><Relationship Id="rId28" Type="http://schemas.openxmlformats.org/officeDocument/2006/relationships/hyperlink" Target="https://doi.org/10.3991/ijet.v5i1.887" TargetMode="External"/><Relationship Id="rId36" Type="http://schemas.openxmlformats.org/officeDocument/2006/relationships/fontTable" Target="fontTable.xml"/><Relationship Id="rId10" Type="http://schemas.openxmlformats.org/officeDocument/2006/relationships/hyperlink" Target="http://creativecommons.org/licenses/by/4.0/" TargetMode="External"/><Relationship Id="rId19" Type="http://schemas.openxmlformats.org/officeDocument/2006/relationships/hyperlink" Target="https://doi.org/10.23750/abm.v91i1.9397" TargetMode="External"/><Relationship Id="rId31" Type="http://schemas.openxmlformats.org/officeDocument/2006/relationships/hyperlink" Target="https://en.unesco.org/covid19/educationresponse/solution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www.theguardian.com/australia-news/2020/mar/24/clear-as-mud-schools-ask-for-online-learning-help-as-coronavirus-policy-confusion-persists" TargetMode="External"/><Relationship Id="rId27" Type="http://schemas.openxmlformats.org/officeDocument/2006/relationships/hyperlink" Target="https://doi.org/10.21043/elementary.v3i1.1443" TargetMode="External"/><Relationship Id="rId30" Type="http://schemas.openxmlformats.org/officeDocument/2006/relationships/hyperlink" Target="https://doi.org/10.1016/j.ijsu.2020.02.034" TargetMode="External"/><Relationship Id="rId35" Type="http://schemas.openxmlformats.org/officeDocument/2006/relationships/hyperlink" Target="https://doi.org/10.1016/j.ijid.2020.01.0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C5955-3596-41A3-8F7E-F6E3FABDE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12</Pages>
  <Words>5082</Words>
  <Characters>28969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Windows User</cp:lastModifiedBy>
  <cp:revision>160</cp:revision>
  <cp:lastPrinted>2019-06-30T04:57:00Z</cp:lastPrinted>
  <dcterms:created xsi:type="dcterms:W3CDTF">2019-03-22T16:02:00Z</dcterms:created>
  <dcterms:modified xsi:type="dcterms:W3CDTF">2021-07-22T04:35:00Z</dcterms:modified>
</cp:coreProperties>
</file>