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B655E8" w:rsidRDefault="00B655E8">
      <w:pPr>
        <w:tabs>
          <w:tab w:val="left" w:pos="2714"/>
        </w:tabs>
        <w:spacing w:after="0"/>
        <w:jc w:val="both"/>
        <w:rPr>
          <w:rFonts w:ascii="Century Gothic" w:eastAsia="Century Gothic" w:hAnsi="Century Gothic" w:cs="Century Gothic"/>
          <w:b/>
          <w:sz w:val="36"/>
          <w:szCs w:val="36"/>
        </w:rPr>
      </w:pPr>
    </w:p>
    <w:p w:rsidR="006F34AC" w:rsidRPr="006F34AC" w:rsidRDefault="006F34AC">
      <w:pPr>
        <w:tabs>
          <w:tab w:val="left" w:pos="2714"/>
        </w:tabs>
        <w:spacing w:after="0"/>
        <w:jc w:val="both"/>
        <w:rPr>
          <w:rFonts w:ascii="Century Gothic" w:eastAsia="Century Gothic" w:hAnsi="Century Gothic" w:cs="Century Gothic"/>
          <w:b/>
          <w:sz w:val="32"/>
          <w:szCs w:val="32"/>
        </w:rPr>
      </w:pPr>
      <w:r w:rsidRPr="006F34AC">
        <w:rPr>
          <w:rFonts w:ascii="Century Gothic" w:eastAsia="Century Gothic" w:hAnsi="Century Gothic" w:cs="Century Gothic"/>
          <w:b/>
          <w:sz w:val="32"/>
          <w:szCs w:val="32"/>
        </w:rPr>
        <w:t>Trends and Directions in Life Skills Assessment for Elementary School Students from a Guidance and Counseling Perspective: A Systematic Literature Review</w:t>
      </w:r>
    </w:p>
    <w:p w:rsidR="006F34AC" w:rsidRDefault="006F34AC">
      <w:pPr>
        <w:tabs>
          <w:tab w:val="left" w:pos="2714"/>
        </w:tabs>
        <w:spacing w:after="0"/>
        <w:jc w:val="both"/>
        <w:rPr>
          <w:rFonts w:ascii="Arial" w:eastAsia="Arial" w:hAnsi="Arial" w:cs="Arial"/>
          <w:sz w:val="20"/>
          <w:szCs w:val="20"/>
        </w:rPr>
      </w:pPr>
    </w:p>
    <w:p w:rsidR="007C4BC4" w:rsidRDefault="00000000">
      <w:pPr>
        <w:tabs>
          <w:tab w:val="left" w:pos="2714"/>
        </w:tabs>
        <w:spacing w:after="0"/>
        <w:jc w:val="both"/>
        <w:rPr>
          <w:rFonts w:ascii="Arial" w:eastAsia="Arial" w:hAnsi="Arial" w:cs="Arial"/>
          <w:b/>
          <w:sz w:val="20"/>
          <w:szCs w:val="20"/>
        </w:rPr>
      </w:pPr>
      <w:bookmarkStart w:id="0" w:name="_heading=h.gjdgxs" w:colFirst="0" w:colLast="0"/>
      <w:bookmarkEnd w:id="0"/>
      <w:r>
        <w:rPr>
          <w:rFonts w:ascii="Arial" w:eastAsia="Arial" w:hAnsi="Arial" w:cs="Arial"/>
          <w:b/>
          <w:sz w:val="20"/>
          <w:szCs w:val="20"/>
        </w:rPr>
        <w:t>Author</w:t>
      </w:r>
      <w:r>
        <w:rPr>
          <w:rFonts w:ascii="Arial" w:eastAsia="Arial" w:hAnsi="Arial" w:cs="Arial"/>
          <w:b/>
          <w:sz w:val="20"/>
          <w:szCs w:val="20"/>
          <w:vertAlign w:val="superscript"/>
        </w:rPr>
        <w:t xml:space="preserve">1 </w:t>
      </w:r>
    </w:p>
    <w:p w:rsidR="007C4BC4" w:rsidRDefault="006615DE">
      <w:pPr>
        <w:tabs>
          <w:tab w:val="left" w:pos="2714"/>
        </w:tabs>
        <w:spacing w:after="0"/>
        <w:jc w:val="both"/>
        <w:rPr>
          <w:rFonts w:ascii="Arial" w:eastAsia="Arial" w:hAnsi="Arial" w:cs="Arial"/>
          <w:sz w:val="20"/>
          <w:szCs w:val="20"/>
        </w:rPr>
      </w:pPr>
      <w:r>
        <w:rPr>
          <w:rFonts w:ascii="Arial" w:eastAsia="Arial" w:hAnsi="Arial" w:cs="Arial"/>
          <w:sz w:val="20"/>
          <w:szCs w:val="20"/>
        </w:rPr>
        <w:t>Tb. Moh. Irma Ari Irawan</w:t>
      </w:r>
    </w:p>
    <w:p w:rsidR="006615DE" w:rsidRDefault="006615DE">
      <w:pPr>
        <w:tabs>
          <w:tab w:val="left" w:pos="2714"/>
        </w:tabs>
        <w:spacing w:after="0"/>
        <w:jc w:val="both"/>
        <w:rPr>
          <w:rFonts w:ascii="Arial" w:eastAsia="Arial" w:hAnsi="Arial" w:cs="Arial"/>
          <w:sz w:val="20"/>
          <w:szCs w:val="20"/>
        </w:rPr>
      </w:pPr>
      <w:r>
        <w:rPr>
          <w:rFonts w:ascii="Arial" w:eastAsia="Arial" w:hAnsi="Arial" w:cs="Arial"/>
          <w:sz w:val="20"/>
          <w:szCs w:val="20"/>
        </w:rPr>
        <w:t>Universitas Pendidikan Indonesia</w:t>
      </w:r>
    </w:p>
    <w:p w:rsidR="007C4BC4" w:rsidRDefault="006615DE">
      <w:pPr>
        <w:tabs>
          <w:tab w:val="left" w:pos="2714"/>
        </w:tabs>
        <w:spacing w:after="0"/>
        <w:jc w:val="both"/>
        <w:rPr>
          <w:rFonts w:ascii="Arial" w:eastAsia="Arial" w:hAnsi="Arial" w:cs="Arial"/>
          <w:sz w:val="20"/>
          <w:szCs w:val="20"/>
        </w:rPr>
      </w:pPr>
      <w:hyperlink r:id="rId8" w:history="1">
        <w:r w:rsidRPr="00C0275B">
          <w:rPr>
            <w:rStyle w:val="Hyperlink"/>
            <w:rFonts w:ascii="Arial" w:eastAsia="Arial" w:hAnsi="Arial" w:cs="Arial"/>
            <w:sz w:val="20"/>
            <w:szCs w:val="20"/>
          </w:rPr>
          <w:t>tubagusirma@upi.edu</w:t>
        </w:r>
      </w:hyperlink>
      <w:r>
        <w:rPr>
          <w:rFonts w:ascii="Arial" w:eastAsia="Arial" w:hAnsi="Arial" w:cs="Arial"/>
          <w:sz w:val="20"/>
          <w:szCs w:val="20"/>
        </w:rPr>
        <w:t xml:space="preserve"> </w:t>
      </w:r>
    </w:p>
    <w:p w:rsidR="007C4BC4" w:rsidRDefault="007C4BC4">
      <w:pPr>
        <w:tabs>
          <w:tab w:val="left" w:pos="2714"/>
        </w:tabs>
        <w:spacing w:after="0"/>
        <w:jc w:val="both"/>
        <w:rPr>
          <w:rFonts w:ascii="Arial" w:eastAsia="Arial" w:hAnsi="Arial" w:cs="Arial"/>
          <w:sz w:val="20"/>
          <w:szCs w:val="20"/>
        </w:rPr>
      </w:pPr>
    </w:p>
    <w:p w:rsidR="006615DE" w:rsidRDefault="006615DE">
      <w:pPr>
        <w:tabs>
          <w:tab w:val="left" w:pos="2714"/>
        </w:tabs>
        <w:spacing w:after="0"/>
        <w:jc w:val="both"/>
        <w:rPr>
          <w:rFonts w:ascii="Arial" w:eastAsia="Arial" w:hAnsi="Arial" w:cs="Arial"/>
          <w:b/>
          <w:sz w:val="20"/>
          <w:szCs w:val="20"/>
          <w:vertAlign w:val="superscript"/>
        </w:rPr>
      </w:pPr>
      <w:r>
        <w:rPr>
          <w:rFonts w:ascii="Arial" w:eastAsia="Arial" w:hAnsi="Arial" w:cs="Arial"/>
          <w:b/>
          <w:sz w:val="20"/>
          <w:szCs w:val="20"/>
        </w:rPr>
        <w:t>Eka Sakti Yudha</w:t>
      </w:r>
      <w:r w:rsidR="00000000">
        <w:rPr>
          <w:rFonts w:ascii="Arial" w:eastAsia="Arial" w:hAnsi="Arial" w:cs="Arial"/>
          <w:b/>
          <w:sz w:val="20"/>
          <w:szCs w:val="20"/>
          <w:vertAlign w:val="superscript"/>
        </w:rPr>
        <w:t>2</w:t>
      </w:r>
    </w:p>
    <w:p w:rsidR="006615DE" w:rsidRPr="006615DE" w:rsidRDefault="006615DE">
      <w:pPr>
        <w:tabs>
          <w:tab w:val="left" w:pos="2714"/>
        </w:tabs>
        <w:spacing w:after="0"/>
        <w:jc w:val="both"/>
        <w:rPr>
          <w:rFonts w:ascii="Arial" w:eastAsia="Arial" w:hAnsi="Arial" w:cs="Arial"/>
          <w:sz w:val="20"/>
          <w:szCs w:val="20"/>
        </w:rPr>
      </w:pPr>
      <w:r>
        <w:rPr>
          <w:rFonts w:ascii="Arial" w:eastAsia="Arial" w:hAnsi="Arial" w:cs="Arial"/>
          <w:sz w:val="20"/>
          <w:szCs w:val="20"/>
        </w:rPr>
        <w:t>Universitas Pendidikan Indonesia</w:t>
      </w:r>
    </w:p>
    <w:p w:rsidR="007C4BC4" w:rsidRDefault="006615DE">
      <w:pPr>
        <w:tabs>
          <w:tab w:val="left" w:pos="2714"/>
        </w:tabs>
        <w:spacing w:after="0"/>
        <w:jc w:val="both"/>
        <w:rPr>
          <w:rFonts w:ascii="Arial" w:eastAsia="Arial" w:hAnsi="Arial" w:cs="Arial"/>
          <w:sz w:val="20"/>
          <w:szCs w:val="20"/>
        </w:rPr>
      </w:pPr>
      <w:hyperlink r:id="rId9" w:history="1">
        <w:r w:rsidRPr="00C0275B">
          <w:rPr>
            <w:rStyle w:val="Hyperlink"/>
            <w:rFonts w:ascii="Arial" w:eastAsia="Arial" w:hAnsi="Arial" w:cs="Arial"/>
            <w:sz w:val="20"/>
            <w:szCs w:val="20"/>
          </w:rPr>
          <w:t>ekasakti@upi.edu</w:t>
        </w:r>
      </w:hyperlink>
      <w:r>
        <w:rPr>
          <w:rFonts w:ascii="Arial" w:eastAsia="Arial" w:hAnsi="Arial" w:cs="Arial"/>
          <w:sz w:val="20"/>
          <w:szCs w:val="20"/>
        </w:rPr>
        <w:t xml:space="preserve"> </w:t>
      </w:r>
    </w:p>
    <w:p w:rsidR="007C4BC4" w:rsidRDefault="007C4BC4">
      <w:pPr>
        <w:tabs>
          <w:tab w:val="left" w:pos="2714"/>
        </w:tabs>
        <w:spacing w:after="0"/>
        <w:jc w:val="both"/>
        <w:rPr>
          <w:rFonts w:ascii="Arial" w:eastAsia="Arial" w:hAnsi="Arial" w:cs="Arial"/>
          <w:sz w:val="20"/>
          <w:szCs w:val="20"/>
        </w:rPr>
      </w:pPr>
    </w:p>
    <w:p w:rsidR="006615DE" w:rsidRDefault="006615DE" w:rsidP="006615DE">
      <w:pPr>
        <w:tabs>
          <w:tab w:val="left" w:pos="2714"/>
        </w:tabs>
        <w:spacing w:after="0"/>
        <w:jc w:val="both"/>
        <w:rPr>
          <w:rFonts w:ascii="Arial" w:eastAsia="Arial" w:hAnsi="Arial" w:cs="Arial"/>
          <w:b/>
          <w:sz w:val="20"/>
          <w:szCs w:val="20"/>
          <w:vertAlign w:val="superscript"/>
        </w:rPr>
      </w:pPr>
      <w:r>
        <w:rPr>
          <w:rFonts w:ascii="Arial" w:eastAsia="Arial" w:hAnsi="Arial" w:cs="Arial"/>
          <w:b/>
          <w:sz w:val="20"/>
          <w:szCs w:val="20"/>
        </w:rPr>
        <w:t>Nandang Rusmana</w:t>
      </w:r>
      <w:r>
        <w:rPr>
          <w:rFonts w:ascii="Arial" w:eastAsia="Arial" w:hAnsi="Arial" w:cs="Arial"/>
          <w:b/>
          <w:sz w:val="20"/>
          <w:szCs w:val="20"/>
          <w:vertAlign w:val="superscript"/>
        </w:rPr>
        <w:t>3</w:t>
      </w:r>
    </w:p>
    <w:p w:rsidR="006615DE" w:rsidRPr="006615DE" w:rsidRDefault="006615DE" w:rsidP="006615DE">
      <w:pPr>
        <w:tabs>
          <w:tab w:val="left" w:pos="2714"/>
        </w:tabs>
        <w:spacing w:after="0"/>
        <w:jc w:val="both"/>
        <w:rPr>
          <w:rFonts w:ascii="Arial" w:eastAsia="Arial" w:hAnsi="Arial" w:cs="Arial"/>
          <w:sz w:val="20"/>
          <w:szCs w:val="20"/>
        </w:rPr>
      </w:pPr>
      <w:r>
        <w:rPr>
          <w:rFonts w:ascii="Arial" w:eastAsia="Arial" w:hAnsi="Arial" w:cs="Arial"/>
          <w:sz w:val="20"/>
          <w:szCs w:val="20"/>
        </w:rPr>
        <w:t>Universitas Pendidikan Indonesia</w:t>
      </w:r>
    </w:p>
    <w:p w:rsidR="006615DE" w:rsidRDefault="006615DE" w:rsidP="006615DE">
      <w:pPr>
        <w:tabs>
          <w:tab w:val="left" w:pos="2714"/>
        </w:tabs>
        <w:spacing w:after="0"/>
        <w:jc w:val="both"/>
        <w:rPr>
          <w:rFonts w:ascii="Arial" w:eastAsia="Arial" w:hAnsi="Arial" w:cs="Arial"/>
          <w:sz w:val="20"/>
          <w:szCs w:val="20"/>
        </w:rPr>
      </w:pPr>
      <w:hyperlink r:id="rId10" w:history="1">
        <w:r w:rsidRPr="00C0275B">
          <w:rPr>
            <w:rStyle w:val="Hyperlink"/>
            <w:rFonts w:ascii="Arial" w:eastAsia="Arial" w:hAnsi="Arial" w:cs="Arial"/>
            <w:sz w:val="20"/>
            <w:szCs w:val="20"/>
          </w:rPr>
          <w:t>nandangrusmana@upi.edu</w:t>
        </w:r>
      </w:hyperlink>
      <w:r>
        <w:rPr>
          <w:rFonts w:ascii="Arial" w:eastAsia="Arial" w:hAnsi="Arial" w:cs="Arial"/>
          <w:sz w:val="20"/>
          <w:szCs w:val="20"/>
        </w:rPr>
        <w:t xml:space="preserve"> </w:t>
      </w:r>
    </w:p>
    <w:p w:rsidR="006615DE" w:rsidRDefault="006615DE">
      <w:pPr>
        <w:tabs>
          <w:tab w:val="left" w:pos="2714"/>
        </w:tabs>
        <w:spacing w:after="0"/>
        <w:jc w:val="both"/>
        <w:rPr>
          <w:rFonts w:ascii="Arial" w:eastAsia="Arial" w:hAnsi="Arial" w:cs="Arial"/>
          <w:sz w:val="20"/>
          <w:szCs w:val="20"/>
        </w:rPr>
      </w:pPr>
    </w:p>
    <w:p w:rsidR="007C4BC4" w:rsidRDefault="00000000">
      <w:pPr>
        <w:spacing w:after="0"/>
        <w:jc w:val="both"/>
        <w:rPr>
          <w:rFonts w:ascii="Arial" w:eastAsia="Arial" w:hAnsi="Arial" w:cs="Arial"/>
          <w:b/>
          <w:sz w:val="20"/>
          <w:szCs w:val="20"/>
        </w:rPr>
      </w:pPr>
      <w:r>
        <w:rPr>
          <w:rFonts w:ascii="Arial" w:eastAsia="Arial" w:hAnsi="Arial" w:cs="Arial"/>
          <w:b/>
          <w:sz w:val="20"/>
          <w:szCs w:val="20"/>
        </w:rPr>
        <w:t xml:space="preserve">Abstract </w:t>
      </w:r>
    </w:p>
    <w:p w:rsidR="006F34AC" w:rsidRDefault="006F34AC" w:rsidP="006F34AC">
      <w:pPr>
        <w:tabs>
          <w:tab w:val="left" w:pos="2714"/>
        </w:tabs>
        <w:spacing w:after="0"/>
        <w:jc w:val="both"/>
        <w:rPr>
          <w:rFonts w:ascii="Arial" w:eastAsia="Arial" w:hAnsi="Arial" w:cs="Arial"/>
          <w:sz w:val="20"/>
          <w:szCs w:val="20"/>
        </w:rPr>
      </w:pPr>
      <w:r w:rsidRPr="006F34AC">
        <w:rPr>
          <w:rFonts w:ascii="Arial" w:eastAsia="Arial" w:hAnsi="Arial" w:cs="Arial"/>
          <w:sz w:val="20"/>
          <w:szCs w:val="20"/>
        </w:rPr>
        <w:t xml:space="preserve">Pengembangan keterampilan hidup </w:t>
      </w:r>
      <w:r w:rsidRPr="006F34AC">
        <w:rPr>
          <w:rFonts w:ascii="Arial" w:eastAsia="Arial" w:hAnsi="Arial" w:cs="Arial"/>
          <w:i/>
          <w:iCs/>
          <w:sz w:val="20"/>
          <w:szCs w:val="20"/>
        </w:rPr>
        <w:t>(life skills)</w:t>
      </w:r>
      <w:r w:rsidRPr="006F34AC">
        <w:rPr>
          <w:rFonts w:ascii="Arial" w:eastAsia="Arial" w:hAnsi="Arial" w:cs="Arial"/>
          <w:sz w:val="20"/>
          <w:szCs w:val="20"/>
        </w:rPr>
        <w:t xml:space="preserve"> pada siswa sekolah dasar menjadi fokus penting dalam pendidikan abad ke-21 karena perannya yang krusial dalam mendukung keberhasilan akademik, kesejahteraan sosial-emosional, serta kemampuan adaptasi siswa sejak usia dini. Namun, efektivitas penguatan keterampilan hidup sangat bergantung pada ketersediaan instrumen asesmen yang valid, reliabel, dan sesuai dengan karakteristik perkembangan anak, khususnya dalam konteks layanan bimbingan dan konseling di sekolah. Meskipun berbagai instrumen telah dikembangkan, kajian yang memetakan secara sistematis arah, tren, dan karakteristik instrumen asesmen keterampilan hidup siswa sekolah dasar dari perspektif bimbingan dan konseling masih terbatas.</w:t>
      </w:r>
      <w:r>
        <w:rPr>
          <w:rFonts w:ascii="Arial" w:eastAsia="Arial" w:hAnsi="Arial" w:cs="Arial"/>
          <w:sz w:val="20"/>
          <w:szCs w:val="20"/>
        </w:rPr>
        <w:t xml:space="preserve"> </w:t>
      </w:r>
      <w:r w:rsidRPr="006F34AC">
        <w:rPr>
          <w:rFonts w:ascii="Arial" w:eastAsia="Arial" w:hAnsi="Arial" w:cs="Arial"/>
          <w:sz w:val="20"/>
          <w:szCs w:val="20"/>
        </w:rPr>
        <w:t>Penelitian ini bertujuan untuk menelaah secara sistematis tren dan arah pengembangan instrumen asesmen keterampilan hidup bagi siswa sekolah dasar dari perspektif bimbingan dan konseling. Metode yang digunakan adalah Systematic Literature Review dengan mengacu pada pedoman PRISMA 2020. Pencarian literatur dilakukan pada empat basis data utama, yaitu Scopus, Web of Science, ERIC, dan PsycINFO, untuk artikel yang dipublikasikan pada periode 2010–2025. Melalui proses identifikasi, penyaringan, dan penilaian kelayakan yang ketat, diperoleh 90 artikel yang memenuhi kriteria inklusi dan dianalisis menggunakan teknik sintesis tematik.</w:t>
      </w:r>
      <w:r>
        <w:rPr>
          <w:rFonts w:ascii="Arial" w:eastAsia="Arial" w:hAnsi="Arial" w:cs="Arial"/>
          <w:sz w:val="20"/>
          <w:szCs w:val="20"/>
        </w:rPr>
        <w:t xml:space="preserve"> </w:t>
      </w:r>
      <w:r w:rsidRPr="006F34AC">
        <w:rPr>
          <w:rFonts w:ascii="Arial" w:eastAsia="Arial" w:hAnsi="Arial" w:cs="Arial"/>
          <w:sz w:val="20"/>
          <w:szCs w:val="20"/>
        </w:rPr>
        <w:t xml:space="preserve">Hasil kajian menunjukkan bahwa instrumen asesmen keterampilan hidup siswa sekolah dasar terutama mengukur domain keterampilan sosial-interpersonal, regulasi emosi, pengelolaan diri, dan pemecahan masalah, sementara aspek kesadaran karier dan adaptabilitas kontekstual masih relatif kurang mendapat perhatian. Skala laporan diri dan penilaian guru merupakan jenis instrumen yang paling dominan, sedangkan asesmen berbasis kinerja dan digital masih berkembang namun belum banyak digunakan. Secara geografis, pengembangan instrumen didominasi oleh negara-negara Global North, yang menimbulkan tantangan terkait relevansi budaya dan kesetaraan pengukuran. Temuan ini </w:t>
      </w:r>
      <w:r w:rsidRPr="006F34AC">
        <w:rPr>
          <w:rFonts w:ascii="Arial" w:eastAsia="Arial" w:hAnsi="Arial" w:cs="Arial"/>
          <w:sz w:val="20"/>
          <w:szCs w:val="20"/>
        </w:rPr>
        <w:lastRenderedPageBreak/>
        <w:t>menegaskan pentingnya pengembangan instrumen asesmen keterampilan hidup yang sensitif terhadap perkembangan, konteks budaya, dan kebutuhan layanan bimbingan dan konseling di sekolah dasar.</w:t>
      </w:r>
    </w:p>
    <w:p w:rsidR="007C4BC4" w:rsidRDefault="00000000" w:rsidP="006F34AC">
      <w:pPr>
        <w:tabs>
          <w:tab w:val="left" w:pos="2714"/>
        </w:tabs>
        <w:spacing w:after="0"/>
        <w:jc w:val="both"/>
        <w:rPr>
          <w:rFonts w:ascii="Arial" w:eastAsia="Arial" w:hAnsi="Arial" w:cs="Arial"/>
          <w:sz w:val="20"/>
          <w:szCs w:val="20"/>
        </w:rPr>
      </w:pPr>
      <w:r>
        <w:rPr>
          <w:rFonts w:ascii="Arial" w:eastAsia="Arial" w:hAnsi="Arial" w:cs="Arial"/>
          <w:b/>
          <w:sz w:val="20"/>
          <w:szCs w:val="20"/>
        </w:rPr>
        <w:t>Keywords</w:t>
      </w:r>
      <w:r w:rsidR="00B655E8">
        <w:rPr>
          <w:rFonts w:ascii="Arial" w:eastAsia="Arial" w:hAnsi="Arial" w:cs="Arial"/>
          <w:sz w:val="20"/>
          <w:szCs w:val="20"/>
        </w:rPr>
        <w:t>: Asesmen, life skills, sekolah dasar, perspektif, bimbingan dan konseling</w:t>
      </w:r>
    </w:p>
    <w:p w:rsidR="007C4BC4" w:rsidRDefault="007C4BC4">
      <w:pPr>
        <w:spacing w:after="0"/>
        <w:jc w:val="both"/>
        <w:rPr>
          <w:rFonts w:ascii="Arial" w:eastAsia="Arial" w:hAnsi="Arial" w:cs="Arial"/>
          <w:b/>
          <w:color w:val="000000"/>
          <w:sz w:val="20"/>
          <w:szCs w:val="20"/>
        </w:rPr>
      </w:pPr>
    </w:p>
    <w:p w:rsidR="0059603A" w:rsidRPr="0059603A" w:rsidRDefault="0059603A" w:rsidP="0059603A">
      <w:pPr>
        <w:spacing w:before="120" w:after="0"/>
        <w:jc w:val="both"/>
        <w:rPr>
          <w:rFonts w:ascii="Arial" w:eastAsia="Arial" w:hAnsi="Arial" w:cs="Arial"/>
          <w:b/>
          <w:color w:val="000000"/>
          <w:sz w:val="20"/>
          <w:szCs w:val="20"/>
        </w:rPr>
      </w:pPr>
      <w:r w:rsidRPr="0059603A">
        <w:rPr>
          <w:rFonts w:ascii="Arial" w:eastAsia="Arial" w:hAnsi="Arial" w:cs="Arial"/>
          <w:b/>
          <w:color w:val="000000"/>
          <w:sz w:val="20"/>
          <w:szCs w:val="20"/>
        </w:rPr>
        <w:t>PENDAHULUAN</w:t>
      </w:r>
    </w:p>
    <w:p w:rsidR="00B261D5" w:rsidRDefault="0059603A" w:rsidP="0059603A">
      <w:pPr>
        <w:spacing w:before="120" w:after="0"/>
        <w:ind w:firstLine="709"/>
        <w:jc w:val="both"/>
        <w:rPr>
          <w:rFonts w:ascii="Arial" w:eastAsia="Arial" w:hAnsi="Arial" w:cs="Arial"/>
          <w:bCs/>
          <w:color w:val="000000"/>
          <w:sz w:val="20"/>
          <w:szCs w:val="20"/>
        </w:rPr>
      </w:pPr>
      <w:r w:rsidRPr="0059603A">
        <w:rPr>
          <w:rFonts w:ascii="Arial" w:eastAsia="Arial" w:hAnsi="Arial" w:cs="Arial"/>
          <w:bCs/>
          <w:color w:val="000000"/>
          <w:sz w:val="20"/>
          <w:szCs w:val="20"/>
        </w:rPr>
        <w:t>Asesmen keterampilan hidup dalam pendidikan dasar telah menjadi prioritas strategis sebagai respons terhadap tuntutan abad ke-21yang menekankan pentingnya kemampuan komunikasi, pemecahan masalah, berpikir kritis, dan kompetensi sosial-emosional (Alghazo, 2024; Sarwanto et al., 2021; Pan et al., 2025). Keterampilan hidup didefinisikan sebagai kemampuan psikososial yang memungkinkan individu mengelola tantangan sehari-hari secara efektif dan beradaptasi dengan lingkungan yang beragam, membentuk fondasi bagi kesuksesan akademik, kesejahteraan pribadi, dan kemampuan kerja di masa depan (Ghombavani et al., 2012; Kobayashi et al., 2013; Davydova &amp; Sorokin, 2019).</w:t>
      </w:r>
    </w:p>
    <w:p w:rsidR="0059603A" w:rsidRPr="0059603A" w:rsidRDefault="0059603A" w:rsidP="0059603A">
      <w:pPr>
        <w:spacing w:before="120" w:after="0"/>
        <w:ind w:firstLine="709"/>
        <w:jc w:val="both"/>
        <w:rPr>
          <w:rFonts w:ascii="Arial" w:eastAsia="Arial" w:hAnsi="Arial" w:cs="Arial"/>
          <w:bCs/>
          <w:color w:val="000000"/>
          <w:sz w:val="20"/>
          <w:szCs w:val="20"/>
        </w:rPr>
      </w:pPr>
      <w:r w:rsidRPr="0059603A">
        <w:rPr>
          <w:rFonts w:ascii="Arial" w:eastAsia="Arial" w:hAnsi="Arial" w:cs="Arial"/>
          <w:bCs/>
          <w:color w:val="000000"/>
          <w:sz w:val="20"/>
          <w:szCs w:val="20"/>
        </w:rPr>
        <w:t>Dalam kerangka kerja bimbingan dan konseling, instrumen asesmen yang kokoh sangat penting untuk mengidentifikasi kebutuhan individual siswa, merancang intervensi yang terarah, dan mengevaluasi efektivitas program (Kesici, 2008; Kerdnaimongkol, 2025; Hatch et al., 2022). Kompleksitas konteks pendidikan modern, khususnya percepatan transformasi digital pasca-pandemi dan meningkatnya pengakuan terhadap keberagaman budaya, menuntut pemahaman komprehensif tentang tren asesmen terkini dan implikasinya bagi praktik profesional (Jocham &amp; Pohlmann-Rother, 2025; Suri et al., 2025; Chang &amp; Kuo, 2025).</w:t>
      </w:r>
    </w:p>
    <w:p w:rsidR="00B261D5" w:rsidRDefault="0059603A" w:rsidP="00CD747E">
      <w:pPr>
        <w:spacing w:before="120" w:after="0"/>
        <w:ind w:firstLine="709"/>
        <w:jc w:val="both"/>
        <w:rPr>
          <w:rFonts w:ascii="Arial" w:eastAsia="Arial" w:hAnsi="Arial" w:cs="Arial"/>
          <w:bCs/>
          <w:color w:val="000000"/>
          <w:sz w:val="20"/>
          <w:szCs w:val="20"/>
        </w:rPr>
      </w:pPr>
      <w:r w:rsidRPr="0059603A">
        <w:rPr>
          <w:rFonts w:ascii="Arial" w:eastAsia="Arial" w:hAnsi="Arial" w:cs="Arial"/>
          <w:bCs/>
          <w:color w:val="000000"/>
          <w:sz w:val="20"/>
          <w:szCs w:val="20"/>
        </w:rPr>
        <w:t>Tinjauan sistematis terkini mengungkapkan evolusi signifikan dalam pendekatan asesmen keterampilan hidup, bergerak dari pengukuran yang sempit dan spesifik-domain menuju kerangka kerja holistik dan multidimensional (Martinez-Yarza et al., 2023; Hvalby et al., 2024). Instrumen kontemporer semakin mengintegrasikan kompetensi kognitif dan sosial tradisional dengan domain yang muncul seperti literasi digital, kesiapan karier, dan keterampilan meta-kognitif (Pan et al., 2025; Vargas &amp; Castro, 2022; Jocham &amp; Pohlmann-Rother, 2025; Wolter &amp; Timler, 2014). Ekspansi ini mencerminkan pergeseran yang lebih luas dalam filosofi pendidikan menuju persiapan siswa tidak hanya untuk pencapaian akademik tetapi untuk fungsi adaptif dalam konteks global yang berubah dengan cepat (Hafina et al., 2024; Akongo et al., 2025; Buasuwan et al., 2022).</w:t>
      </w:r>
    </w:p>
    <w:p w:rsidR="00B261D5" w:rsidRPr="00CD747E" w:rsidRDefault="00B261D5" w:rsidP="00B261D5">
      <w:pPr>
        <w:spacing w:before="120" w:after="0"/>
        <w:ind w:firstLine="709"/>
        <w:jc w:val="both"/>
        <w:rPr>
          <w:rFonts w:ascii="Arial" w:eastAsia="Arial" w:hAnsi="Arial" w:cs="Arial"/>
          <w:bCs/>
          <w:color w:val="000000"/>
          <w:sz w:val="20"/>
          <w:szCs w:val="20"/>
        </w:rPr>
      </w:pPr>
      <w:r w:rsidRPr="00CD747E">
        <w:rPr>
          <w:rFonts w:ascii="Arial" w:eastAsia="Arial" w:hAnsi="Arial" w:cs="Arial"/>
          <w:bCs/>
          <w:color w:val="000000"/>
          <w:sz w:val="20"/>
          <w:szCs w:val="20"/>
        </w:rPr>
        <w:t>Seiring dengan tuntutan kompetensi abad ke-21, pendidikan dasar tidak lagi hanya menekankan penguasaan akademik, tetapi juga pengembangan keterampilan berpikir kritis, komunikasi, regulasi emosi, dan kemampuan beradaptasi (Pan et al., 2025; Vargas &amp; Castro, 2022). Dalam konteks ini, bimbingan dan konseling memiliki peran strategis untuk memastikan bahwa pengembangan keterampilan hidup berlangsung secara sistematis, terarah, dan berbasis kebutuhan perkembangan peserta didik (Gysbers &amp; Henderson, 2014; Hatch et al., 2022).</w:t>
      </w:r>
    </w:p>
    <w:p w:rsidR="00B261D5" w:rsidRDefault="0059603A" w:rsidP="00CD747E">
      <w:pPr>
        <w:spacing w:before="120" w:after="0"/>
        <w:ind w:firstLine="709"/>
        <w:jc w:val="both"/>
        <w:rPr>
          <w:rFonts w:ascii="Arial" w:eastAsia="Arial" w:hAnsi="Arial" w:cs="Arial"/>
          <w:bCs/>
          <w:color w:val="000000"/>
          <w:sz w:val="20"/>
          <w:szCs w:val="20"/>
        </w:rPr>
      </w:pPr>
      <w:r w:rsidRPr="0059603A">
        <w:rPr>
          <w:rFonts w:ascii="Arial" w:eastAsia="Arial" w:hAnsi="Arial" w:cs="Arial"/>
          <w:bCs/>
          <w:color w:val="000000"/>
          <w:sz w:val="20"/>
          <w:szCs w:val="20"/>
        </w:rPr>
        <w:t xml:space="preserve">Profesi bimbingan dan konseling memainkan peran penting dalam evolusi ini, memastikan asesmen sesuai perkembangan, responsif secara budaya, dan dapat ditindaklanjuti untuk desain intervensi (Kerdnaimongkol, 2025; Erdman &amp; Lampe, 1996; Hatch et al., 2022). Namun demikian, terlepas dari proliferasi instrumen yang tersedia, tantangan signifikan tetap bertahan terkait ketelitian psikometrik, adaptasi budaya, dan </w:t>
      </w:r>
      <w:r w:rsidRPr="0059603A">
        <w:rPr>
          <w:rFonts w:ascii="Arial" w:eastAsia="Arial" w:hAnsi="Arial" w:cs="Arial"/>
          <w:bCs/>
          <w:color w:val="000000"/>
          <w:sz w:val="20"/>
          <w:szCs w:val="20"/>
        </w:rPr>
        <w:lastRenderedPageBreak/>
        <w:t>implementasi praktis di berbagai setting pendidikan yang beragam (Alavi et al., 2026; Uysal-Bozkir et al., 2013; Gomez Cardona et al., 2023).</w:t>
      </w:r>
    </w:p>
    <w:p w:rsidR="00CD747E" w:rsidRPr="0059603A" w:rsidRDefault="00CD747E" w:rsidP="00CD747E">
      <w:pPr>
        <w:spacing w:before="120" w:after="0"/>
        <w:ind w:firstLine="709"/>
        <w:jc w:val="both"/>
        <w:rPr>
          <w:rFonts w:ascii="Arial" w:eastAsia="Arial" w:hAnsi="Arial" w:cs="Arial"/>
          <w:bCs/>
          <w:color w:val="000000"/>
          <w:sz w:val="20"/>
          <w:szCs w:val="20"/>
        </w:rPr>
      </w:pPr>
      <w:r w:rsidRPr="00CD747E">
        <w:rPr>
          <w:rFonts w:ascii="Arial" w:eastAsia="Arial" w:hAnsi="Arial" w:cs="Arial"/>
          <w:bCs/>
          <w:color w:val="000000"/>
          <w:sz w:val="20"/>
          <w:szCs w:val="20"/>
        </w:rPr>
        <w:t>Meskipun penelitian tentang keterampilan hidup terus berkembang, kajian sistematis yang secara khusus memetakan tren instrumen asesmen keterampilan hidup siswa sekolah dasar dari perspektif bimbingan dan konseling masih relatif terbatas. Oleh karena itu, penelitian ini bertujuan untuk mengisi kesenjangan tersebut dengan menjawab empat pertanyaan utama: (1) domain dan indikator apa yang diukur dalam instrumen asesmen keterampilan hidup SD, (2) jenis instrumen apa yang paling banyak digunakan, (3) bagaimana distribusi negara dan konteks pengembangan instrumen, serta (4) apa tantangan dan peluang pengembangan instrumen asesmen dalam layanan bimbingan dan konseling.</w:t>
      </w:r>
    </w:p>
    <w:p w:rsidR="007C4BC4" w:rsidRDefault="007C4BC4">
      <w:pPr>
        <w:spacing w:after="0"/>
        <w:jc w:val="both"/>
        <w:rPr>
          <w:rFonts w:ascii="Arial" w:eastAsia="Arial" w:hAnsi="Arial" w:cs="Arial"/>
          <w:color w:val="000000"/>
          <w:sz w:val="20"/>
          <w:szCs w:val="20"/>
        </w:rPr>
      </w:pPr>
    </w:p>
    <w:p w:rsidR="007C4BC4" w:rsidRDefault="00000000">
      <w:pPr>
        <w:spacing w:after="0"/>
        <w:jc w:val="both"/>
        <w:rPr>
          <w:rFonts w:ascii="Arial" w:eastAsia="Arial" w:hAnsi="Arial" w:cs="Arial"/>
          <w:b/>
          <w:color w:val="000000"/>
          <w:sz w:val="20"/>
          <w:szCs w:val="20"/>
        </w:rPr>
      </w:pPr>
      <w:r>
        <w:rPr>
          <w:rFonts w:ascii="Arial" w:eastAsia="Arial" w:hAnsi="Arial" w:cs="Arial"/>
          <w:b/>
          <w:sz w:val="20"/>
          <w:szCs w:val="20"/>
        </w:rPr>
        <w:t>MET</w:t>
      </w:r>
      <w:r w:rsidR="001C42CE">
        <w:rPr>
          <w:rFonts w:ascii="Arial" w:eastAsia="Arial" w:hAnsi="Arial" w:cs="Arial"/>
          <w:b/>
          <w:sz w:val="20"/>
          <w:szCs w:val="20"/>
        </w:rPr>
        <w:t>ODE</w:t>
      </w:r>
    </w:p>
    <w:p w:rsidR="00E6782E" w:rsidRPr="00E6782E" w:rsidRDefault="00E6782E" w:rsidP="00E6782E">
      <w:pPr>
        <w:spacing w:after="0"/>
        <w:ind w:firstLine="709"/>
        <w:jc w:val="both"/>
        <w:rPr>
          <w:rFonts w:ascii="Arial" w:eastAsia="Arial" w:hAnsi="Arial" w:cs="Arial"/>
          <w:bCs/>
          <w:color w:val="000000"/>
          <w:sz w:val="20"/>
          <w:szCs w:val="20"/>
        </w:rPr>
      </w:pPr>
      <w:r w:rsidRPr="00E6782E">
        <w:rPr>
          <w:rFonts w:ascii="Arial" w:eastAsia="Arial" w:hAnsi="Arial" w:cs="Arial"/>
          <w:bCs/>
          <w:color w:val="000000"/>
          <w:sz w:val="20"/>
          <w:szCs w:val="20"/>
        </w:rPr>
        <w:t>Proses identifikasi artikel dalam kajian sistematis ini menghasilkan total 1.247 rekaman dari berbagai sumber. Pencarian komprehensif dilakukan melalui empat basis data akademik utama dengan hasil sebagai berikut: Scopus (n=487), Web of Science (n=356), ERIC (n=268), dan PsycINFO (n=134), menggunakan kombinasi kata kunci "life skills assessment", "elementary students", "primary school", "assessment instruments", dan "psychometric properties" untuk publikasi periode 2010-2025. Pencarian tambahan melalui penelusuran referensi silang dari artikel-artikel relevan menghasilkan 2 artikel tambahan, sehingga total artikel yang teridentifikasi mencapai 1.247 rekaman. Seluruh rekaman ini kemudian memasuki tahap penyaringan sistematis untuk memastikan kesesuaian dengan tujuan kajian.</w:t>
      </w:r>
    </w:p>
    <w:p w:rsidR="00E6782E" w:rsidRPr="00E6782E" w:rsidRDefault="00E6782E" w:rsidP="00E6782E">
      <w:pPr>
        <w:spacing w:after="0"/>
        <w:ind w:firstLine="709"/>
        <w:jc w:val="both"/>
        <w:rPr>
          <w:rFonts w:ascii="Arial" w:eastAsia="Arial" w:hAnsi="Arial" w:cs="Arial"/>
          <w:bCs/>
          <w:color w:val="000000"/>
          <w:sz w:val="20"/>
          <w:szCs w:val="20"/>
        </w:rPr>
      </w:pPr>
      <w:r w:rsidRPr="00E6782E">
        <w:rPr>
          <w:rFonts w:ascii="Arial" w:eastAsia="Arial" w:hAnsi="Arial" w:cs="Arial"/>
          <w:bCs/>
          <w:color w:val="000000"/>
          <w:sz w:val="20"/>
          <w:szCs w:val="20"/>
        </w:rPr>
        <w:t>Tahap penyaringan dimulai dengan penghapusan 463 artikel duplikat yang muncul di lebih dari satu basis data, menyisakan 784 artikel unik untuk ditinjau lebih lanjut. Penyaringan berdasarkan judul dan abstrak oleh dua peneliti secara independen menghasilkan eksklusi 521 artikel dengan rincian: 247 artikel tidak fokus pada siswa sekolah dasar/elementary, 158 artikel tidak membahas instrumen asesmen, 73 artikel memiliki jenis publikasi yang tidak sesuai, dan 43 artikel ditulis dalam bahasa selain Inggris. Proses ini menyisakan 263 artikel yang memenuhi syarat untuk penilaian teks lengkap. Pada tahap eligibilitas, pembacaan dan penilaian menyeluruh terhadap 263 artikel menghasilkan eksklusi tambahan 173 artikel dengan alasan: 52 artikel memiliki populasi yang tidak sesuai (usia &gt;12 tahun), 48 artikel tidak fokus pada pengembangan/validasi instrumen, 37 artikel memiliki data psikometrik yang tidak memadai, 21 artikel kurang relevan dengan konteks bimbingan dan konseling, 11 artikel tidak dapat diakses full-text, dan 4 artikel berupa editorial atau abstrak konferensi saja.</w:t>
      </w:r>
    </w:p>
    <w:p w:rsidR="0059603A" w:rsidRDefault="00E6782E" w:rsidP="00E6782E">
      <w:pPr>
        <w:spacing w:after="0"/>
        <w:ind w:firstLine="709"/>
        <w:jc w:val="both"/>
        <w:rPr>
          <w:rFonts w:ascii="Arial" w:eastAsia="Arial" w:hAnsi="Arial" w:cs="Arial"/>
          <w:bCs/>
          <w:color w:val="000000"/>
          <w:sz w:val="20"/>
          <w:szCs w:val="20"/>
        </w:rPr>
      </w:pPr>
      <w:r w:rsidRPr="00E6782E">
        <w:rPr>
          <w:rFonts w:ascii="Arial" w:eastAsia="Arial" w:hAnsi="Arial" w:cs="Arial"/>
          <w:bCs/>
          <w:color w:val="000000"/>
          <w:sz w:val="20"/>
          <w:szCs w:val="20"/>
        </w:rPr>
        <w:t xml:space="preserve">Hasil akhir dari proses seleksi yang sistematis ini menghasilkan 90 artikel yang memenuhi seluruh kriteria inklusi dan dimasukkan dalam analisis dan sintesis tematik komprehensif. Dari 90 artikel yang disertakan, distribusinya adalah sebagai berikut: 52 artikel (57,8%) merupakan studi pengembangan instrumen primer, 23 artikel (25,6%) merupakan studi validasi dan adaptasi, 10 artikel (11,1%) merupakan studi validasi lintas budaya, dan 5 artikel (5,6%) merupakan studi evaluasi psikometrik. Distribusi geografis mencakup 25 negara dengan dominasi East Asia (n=24), Eropa (n=22), Amerika Utara (n=18), Afrika (n=8), Asia Tenggara (n=7), Timur Tengah (n=6), Amerika Latin (n=3), dan Oseania (n=2). Kualitas artikel dievaluasi menggunakan adaptasi COSMIN checklist dengan hasil 38 artikel (42,2%) berkualitas tinggi dalam hal ukuran sampel, 85 artikel (94,4%) melaporkan konsistensi internal yang memadai, dan 52 artikel (57,8%) melakukan analisis faktor konfirmatori atau eksploratori. Tingkat kesepakatan antar-peneliti dalam </w:t>
      </w:r>
      <w:r w:rsidRPr="00E6782E">
        <w:rPr>
          <w:rFonts w:ascii="Arial" w:eastAsia="Arial" w:hAnsi="Arial" w:cs="Arial"/>
          <w:bCs/>
          <w:color w:val="000000"/>
          <w:sz w:val="20"/>
          <w:szCs w:val="20"/>
        </w:rPr>
        <w:lastRenderedPageBreak/>
        <w:t>proses seleksi mencapai κ=0,87 yang mengindikasikan reliabilitas substansial, sementara tingkat inklusi keseluruhan dari identifikasi awal hingga artikel final adalah 7,2% (90 dari 1.247), mencerminkan proses seleksi yang ketat dan sistematis sesuai dengan standar PRISMA 2020.</w:t>
      </w:r>
    </w:p>
    <w:p w:rsidR="00E6782E" w:rsidRDefault="00E6782E" w:rsidP="00E6782E">
      <w:pPr>
        <w:spacing w:after="0"/>
        <w:ind w:firstLine="709"/>
        <w:jc w:val="both"/>
        <w:rPr>
          <w:rFonts w:ascii="Arial" w:eastAsia="Arial" w:hAnsi="Arial" w:cs="Arial"/>
          <w:bCs/>
          <w:color w:val="000000"/>
          <w:sz w:val="20"/>
          <w:szCs w:val="20"/>
        </w:rPr>
      </w:pPr>
    </w:p>
    <w:p w:rsidR="007C4BC4" w:rsidRPr="001C42CE" w:rsidRDefault="001C42CE">
      <w:pPr>
        <w:spacing w:after="0"/>
        <w:jc w:val="both"/>
        <w:rPr>
          <w:rFonts w:ascii="Arial" w:eastAsia="Arial" w:hAnsi="Arial" w:cs="Arial"/>
          <w:b/>
          <w:sz w:val="20"/>
          <w:szCs w:val="20"/>
        </w:rPr>
      </w:pPr>
      <w:r w:rsidRPr="001C42CE">
        <w:rPr>
          <w:rFonts w:ascii="Arial" w:eastAsia="Arial" w:hAnsi="Arial" w:cs="Arial"/>
          <w:b/>
          <w:sz w:val="20"/>
          <w:szCs w:val="20"/>
        </w:rPr>
        <w:t>HASIL DAN DISKUSI</w:t>
      </w:r>
    </w:p>
    <w:p w:rsidR="0059603A" w:rsidRPr="0059603A" w:rsidRDefault="0059603A" w:rsidP="0059603A">
      <w:pPr>
        <w:spacing w:after="0"/>
        <w:jc w:val="both"/>
        <w:rPr>
          <w:rFonts w:ascii="Arial" w:eastAsia="Arial" w:hAnsi="Arial" w:cs="Arial"/>
          <w:b/>
          <w:bCs/>
          <w:sz w:val="20"/>
          <w:szCs w:val="20"/>
        </w:rPr>
      </w:pPr>
      <w:r w:rsidRPr="0059603A">
        <w:rPr>
          <w:rFonts w:ascii="Arial" w:eastAsia="Arial" w:hAnsi="Arial" w:cs="Arial"/>
          <w:b/>
          <w:bCs/>
          <w:sz w:val="20"/>
          <w:szCs w:val="20"/>
        </w:rPr>
        <w:t>Domain dan Indikator Asesmen Keterampilan Hidup</w:t>
      </w:r>
    </w:p>
    <w:p w:rsidR="00914210" w:rsidRDefault="00914210" w:rsidP="00914210">
      <w:pPr>
        <w:spacing w:after="0"/>
        <w:ind w:firstLine="720"/>
        <w:jc w:val="both"/>
        <w:rPr>
          <w:rFonts w:ascii="Arial" w:eastAsia="Arial" w:hAnsi="Arial" w:cs="Arial"/>
          <w:sz w:val="20"/>
          <w:szCs w:val="20"/>
        </w:rPr>
      </w:pPr>
      <w:r w:rsidRPr="00914210">
        <w:rPr>
          <w:rFonts w:ascii="Arial" w:eastAsia="Arial" w:hAnsi="Arial" w:cs="Arial"/>
          <w:sz w:val="20"/>
          <w:szCs w:val="20"/>
        </w:rPr>
        <w:t>Sintesis literatur menunjukkan bahwa keterampilan hidup pada siswa sekolah dasar dipahami sebagai konstruk multidimensional yang mencerminkan kapasitas anak untuk mengelola tuntutan akademik, sosial, dan emosional dalam konteks perkembangan awal kehidupan (Ghombavani et al., 2012; Davydova &amp; Sorokin, 2019; Hvalby et al., 2024). Instrumen asesmen yang dianalisis dalam kajian ini umumnya mengelompokkan keterampilan hidup ke dalam beberapa domain utama, meskipun terdapat variasi terminologi, indikator, dan tingkat kedalaman pengukuran antar studi (Pan et al., 2025; Hafina et al., 2024).</w:t>
      </w:r>
    </w:p>
    <w:p w:rsidR="00914210" w:rsidRDefault="00914210" w:rsidP="00914210">
      <w:pPr>
        <w:spacing w:after="0"/>
        <w:ind w:firstLine="720"/>
        <w:jc w:val="both"/>
        <w:rPr>
          <w:rFonts w:ascii="Arial" w:eastAsia="Arial" w:hAnsi="Arial" w:cs="Arial"/>
          <w:sz w:val="20"/>
          <w:szCs w:val="20"/>
        </w:rPr>
      </w:pPr>
      <w:r w:rsidRPr="00914210">
        <w:rPr>
          <w:rFonts w:ascii="Arial" w:eastAsia="Arial" w:hAnsi="Arial" w:cs="Arial"/>
          <w:sz w:val="20"/>
          <w:szCs w:val="20"/>
        </w:rPr>
        <w:t>Domain kognitif merupakan salah satu domain yang paling sering diukur dalam instrumen asesmen keterampilan hidup siswa sekolah dasar, dengan fokus pada kemampuan pemecahan masalah, pengambilan keputusan sederhana, perencanaan aktivitas, dan berpikir logis dalam situasi belajar sehari-hari (Erawan, 2010; Davydova &amp; Sorokin, 2019; Pan et al., 2025). Indikator pada domain ini umumnya dirancang untuk menilai bagaimana siswa memahami masalah, memilih alternatif tindakan, serta mengevaluasi konsekuensi dari keputusan yang diambil dalam konteks akademik maupun sosial (Ghombavani et al., 2012; Hvalby et al., 2024).</w:t>
      </w:r>
      <w:r>
        <w:rPr>
          <w:rFonts w:ascii="Arial" w:eastAsia="Arial" w:hAnsi="Arial" w:cs="Arial"/>
          <w:sz w:val="20"/>
          <w:szCs w:val="20"/>
        </w:rPr>
        <w:t xml:space="preserve"> </w:t>
      </w:r>
      <w:r w:rsidRPr="00914210">
        <w:rPr>
          <w:rFonts w:ascii="Arial" w:eastAsia="Arial" w:hAnsi="Arial" w:cs="Arial"/>
          <w:sz w:val="20"/>
          <w:szCs w:val="20"/>
        </w:rPr>
        <w:t>Dari perspektif perkembangan, pengukuran keterampilan kognitif pada siswa sekolah dasar cenderung bersifat operasional dan kontekstual, menyesuaikan dengan kemampuan berpikir konkret anak pada tahap perkembangan ini (Davydova &amp; Sorokin, 2019; Kase &amp; Endo, 2023). Namun, literatur menunjukkan bahwa sebagian besar instrumen masih menempatkan domain kognitif sebagai perpanjangan dari keterampilan akademik, sehingga aspek kognitif adaptif seperti refleksi diri, evaluasi nilai, dan pengambilan keputusan berbasis pengalaman hidup belum terukur secara optimal (Sarwanto et al., 2021; Hvalby et al., 2024).</w:t>
      </w:r>
      <w:r>
        <w:rPr>
          <w:rFonts w:ascii="Arial" w:eastAsia="Arial" w:hAnsi="Arial" w:cs="Arial"/>
          <w:sz w:val="20"/>
          <w:szCs w:val="20"/>
        </w:rPr>
        <w:t xml:space="preserve"> </w:t>
      </w:r>
      <w:r w:rsidRPr="00914210">
        <w:rPr>
          <w:rFonts w:ascii="Arial" w:eastAsia="Arial" w:hAnsi="Arial" w:cs="Arial"/>
          <w:sz w:val="20"/>
          <w:szCs w:val="20"/>
        </w:rPr>
        <w:t>Dalam konteks bimbingan dan konseling, keterbatasan ini berimplikasi pada kurangnya data asesmen yang dapat digunakan untuk merancang layanan bimbingan belajar dan pengambilan keputusan secara holistik, bukan sekadar remediasi akademik (Gysbers &amp; Henderson, 2014; Hatch et al., 2022). Oleh karena itu, literatur menekankan perlunya redefinisi indikator kognitif yang lebih selaras dengan tujuan pengembangan keterampilan hidup dalam layanan BK (Pan et al., 2025; Akongo et al., 2025).</w:t>
      </w:r>
    </w:p>
    <w:p w:rsidR="00914210" w:rsidRDefault="00914210" w:rsidP="00914210">
      <w:pPr>
        <w:spacing w:after="0"/>
        <w:ind w:firstLine="720"/>
        <w:jc w:val="both"/>
        <w:rPr>
          <w:rFonts w:ascii="Arial" w:eastAsia="Arial" w:hAnsi="Arial" w:cs="Arial"/>
          <w:sz w:val="20"/>
          <w:szCs w:val="20"/>
        </w:rPr>
      </w:pPr>
      <w:r w:rsidRPr="00914210">
        <w:rPr>
          <w:rFonts w:ascii="Arial" w:eastAsia="Arial" w:hAnsi="Arial" w:cs="Arial"/>
          <w:sz w:val="20"/>
          <w:szCs w:val="20"/>
        </w:rPr>
        <w:t>Domain sosial dan interpersonal merupakan domain yang paling dominan dalam instrumen asesmen keterampilan hidup siswa sekolah dasar, mencerminkan fokus pendidikan dasar pada pembentukan perilaku prososial dan kemampuan berinteraksi secara adaptif dengan lingkungan sosial (Kobayashi et al., 2013; Hafina et al., 2024; Casale et al., 2023). Indikator yang paling sering digunakan meliputi komunikasi efektif, empati, kerja sama, kepatuhan terhadap aturan, serta kemampuan menyelesaikan konflik sederhana dengan teman sebaya (Didaskalou et al., 2022; Pan et al., 2025).</w:t>
      </w:r>
      <w:r>
        <w:rPr>
          <w:rFonts w:ascii="Arial" w:eastAsia="Arial" w:hAnsi="Arial" w:cs="Arial"/>
          <w:sz w:val="20"/>
          <w:szCs w:val="20"/>
        </w:rPr>
        <w:t xml:space="preserve"> </w:t>
      </w:r>
      <w:r w:rsidRPr="00914210">
        <w:rPr>
          <w:rFonts w:ascii="Arial" w:eastAsia="Arial" w:hAnsi="Arial" w:cs="Arial"/>
          <w:sz w:val="20"/>
          <w:szCs w:val="20"/>
        </w:rPr>
        <w:t xml:space="preserve">Dominasi domain sosial dalam asesmen keterampilan hidup juga dipengaruhi oleh kemudahan observasi perilaku sosial di lingkungan sekolah, sehingga domain ini sering diukur melalui instrumen berbasis penilaian guru atau observasi terstruktur (Casale et al., 2023; Himmelmeier et al., 2025). Dari perspektif bimbingan dan konseling, asesmen keterampilan sosial memiliki fungsi strategis sebagai alat deteksi dini terhadap masalah </w:t>
      </w:r>
      <w:r w:rsidRPr="00914210">
        <w:rPr>
          <w:rFonts w:ascii="Arial" w:eastAsia="Arial" w:hAnsi="Arial" w:cs="Arial"/>
          <w:sz w:val="20"/>
          <w:szCs w:val="20"/>
        </w:rPr>
        <w:lastRenderedPageBreak/>
        <w:t>penyesuaian sosial, perilaku bermasalah, dan risiko eksklusi sosial (Hatch et al., 2022; Hartzell et al., 2020).</w:t>
      </w:r>
      <w:r>
        <w:rPr>
          <w:rFonts w:ascii="Arial" w:eastAsia="Arial" w:hAnsi="Arial" w:cs="Arial"/>
          <w:sz w:val="20"/>
          <w:szCs w:val="20"/>
        </w:rPr>
        <w:t xml:space="preserve"> </w:t>
      </w:r>
      <w:r w:rsidRPr="00914210">
        <w:rPr>
          <w:rFonts w:ascii="Arial" w:eastAsia="Arial" w:hAnsi="Arial" w:cs="Arial"/>
          <w:sz w:val="20"/>
          <w:szCs w:val="20"/>
        </w:rPr>
        <w:t>Namun, literatur juga menyoroti bahwa indikator keterampilan sosial sangat dipengaruhi oleh norma budaya dan nilai sosial setempat, sehingga instrumen yang dikembangkan di satu konteks budaya tidak selalu valid ketika diterapkan di konteks lain (Gladstone et al., 2008; Kohrt et al., 2011). Ketidaksensitifan budaya dalam pengukuran keterampilan sosial berpotensi menghasilkan bias asesmen yang berdampak pada stigmatisasi atau kesalahan identifikasi kebutuhan siswa dalam layanan BK (Abhilashi et al., 2025; Akongo et al., 2025).</w:t>
      </w:r>
    </w:p>
    <w:p w:rsidR="00914210" w:rsidRDefault="00914210" w:rsidP="00914210">
      <w:pPr>
        <w:spacing w:after="0"/>
        <w:ind w:firstLine="720"/>
        <w:jc w:val="both"/>
        <w:rPr>
          <w:rFonts w:ascii="Arial" w:eastAsia="Arial" w:hAnsi="Arial" w:cs="Arial"/>
          <w:sz w:val="20"/>
          <w:szCs w:val="20"/>
        </w:rPr>
      </w:pPr>
      <w:r w:rsidRPr="00914210">
        <w:rPr>
          <w:rFonts w:ascii="Arial" w:eastAsia="Arial" w:hAnsi="Arial" w:cs="Arial"/>
          <w:sz w:val="20"/>
          <w:szCs w:val="20"/>
        </w:rPr>
        <w:t>Domain regulasi emosi dan kesadaran diri semakin mendapat perhatian dalam instrumen asesmen keterampilan hidup karena perannya yang signifikan terhadap kesejahteraan psikologis dan kesiapan belajar siswa sekolah dasar (Eschenbeck et al., 2006; Fernandes et al., 2024; Hvalby et al., 2024). Indikator pada domain ini mencakup kemampuan mengenali emosi diri, mengelola emosi negatif, mengendalikan impuls, serta menyesuaikan respons emosional terhadap situasi sosial dan akademik (Ghombavani et al., 2012; Davydova &amp; Sorokin, 2019).</w:t>
      </w:r>
      <w:r>
        <w:rPr>
          <w:rFonts w:ascii="Arial" w:eastAsia="Arial" w:hAnsi="Arial" w:cs="Arial"/>
          <w:sz w:val="20"/>
          <w:szCs w:val="20"/>
        </w:rPr>
        <w:t xml:space="preserve"> </w:t>
      </w:r>
      <w:r w:rsidRPr="00914210">
        <w:rPr>
          <w:rFonts w:ascii="Arial" w:eastAsia="Arial" w:hAnsi="Arial" w:cs="Arial"/>
          <w:sz w:val="20"/>
          <w:szCs w:val="20"/>
        </w:rPr>
        <w:t>Meskipun penting, pengukuran regulasi emosi pada anak usia sekolah dasar menghadapi tantangan metodologis yang signifikan, terutama terkait keterbatasan kemampuan refleksi dan verbal anak (Beitchman &amp; Corradini, 1988; Epkins &amp; Meyers, 1994). Akibatnya, banyak instrumen masih mengandalkan laporan guru atau orang tua sebagai sumber data utama, sementara penggunaan self-report pada domain ini sering dipertanyakan validitasnya (Casale et al., 2023; Kase &amp; Endo, 2023).</w:t>
      </w:r>
      <w:r>
        <w:rPr>
          <w:rFonts w:ascii="Arial" w:eastAsia="Arial" w:hAnsi="Arial" w:cs="Arial"/>
          <w:sz w:val="20"/>
          <w:szCs w:val="20"/>
        </w:rPr>
        <w:t xml:space="preserve"> </w:t>
      </w:r>
      <w:r w:rsidRPr="00914210">
        <w:rPr>
          <w:rFonts w:ascii="Arial" w:eastAsia="Arial" w:hAnsi="Arial" w:cs="Arial"/>
          <w:sz w:val="20"/>
          <w:szCs w:val="20"/>
        </w:rPr>
        <w:t>Dalam perspektif bimbingan dan konseling, keterbatasan pengukuran regulasi emosi dapat menghambat penyusunan layanan preventif dan intervensi dini yang berbasis kebutuhan aktual siswa (Kesici, 2008; Hatch et al., 2022). Oleh karena itu, literatur merekomendasikan pengembangan indikator emosional yang lebih konkret dan berbasis perilaku, serta penggunaan pendekatan multi-informan untuk meningkatkan akurasi asesmen (Pan et al., 2025; Abhilashi et al., 2025).</w:t>
      </w:r>
    </w:p>
    <w:p w:rsidR="00914210" w:rsidRDefault="00914210" w:rsidP="00914210">
      <w:pPr>
        <w:spacing w:after="0"/>
        <w:ind w:firstLine="720"/>
        <w:jc w:val="both"/>
        <w:rPr>
          <w:rFonts w:ascii="Arial" w:eastAsia="Arial" w:hAnsi="Arial" w:cs="Arial"/>
          <w:sz w:val="20"/>
          <w:szCs w:val="20"/>
        </w:rPr>
      </w:pPr>
      <w:r w:rsidRPr="00914210">
        <w:rPr>
          <w:rFonts w:ascii="Arial" w:eastAsia="Arial" w:hAnsi="Arial" w:cs="Arial"/>
          <w:sz w:val="20"/>
          <w:szCs w:val="20"/>
        </w:rPr>
        <w:t>Domain pengelolaan diri (self-management) mencakup indikator kemandirian, disiplin diri, manajemen waktu, tanggung jawab, dan persistensi dalam menyelesaikan tugas, yang semakin diakui sebagai komponen penting keterampilan hidup siswa sekolah dasar (Ghombavani et al., 2012; Hvalby et al., 2024; Hafina et al., 2024). Instrumen pada domain ini umumnya digunakan untuk mengidentifikasi kebiasaan belajar dan kesiapan siswa dalam menghadapi tuntutan akademik yang meningkat (Davydova &amp; Sorokin, 2019; Pan et al., 2025).</w:t>
      </w:r>
      <w:r>
        <w:rPr>
          <w:rFonts w:ascii="Arial" w:eastAsia="Arial" w:hAnsi="Arial" w:cs="Arial"/>
          <w:sz w:val="20"/>
          <w:szCs w:val="20"/>
        </w:rPr>
        <w:t xml:space="preserve"> </w:t>
      </w:r>
      <w:r w:rsidRPr="00914210">
        <w:rPr>
          <w:rFonts w:ascii="Arial" w:eastAsia="Arial" w:hAnsi="Arial" w:cs="Arial"/>
          <w:sz w:val="20"/>
          <w:szCs w:val="20"/>
        </w:rPr>
        <w:t>Namun, kajian literatur menunjukkan bahwa indikator self-management sering kali tumpang tindih dengan domain regulasi emosi atau keterampilan akademik, sehingga batas konseptual antar domain menjadi kurang jelas (Sarwanto et al., 2021; Hvalby et al., 2024). Ketidakjelasan ini dapat menyulitkan konselor dalam menginterpretasikan hasil asesmen dan menentukan fokus layanan bimbingan yang tepat (Gysbers &amp; Henderson, 2014; Hatch et al., 2022).</w:t>
      </w:r>
    </w:p>
    <w:p w:rsidR="00914210" w:rsidRDefault="00914210" w:rsidP="00914210">
      <w:pPr>
        <w:spacing w:after="0"/>
        <w:ind w:firstLine="720"/>
        <w:jc w:val="both"/>
        <w:rPr>
          <w:rFonts w:ascii="Arial" w:eastAsia="Arial" w:hAnsi="Arial" w:cs="Arial"/>
          <w:sz w:val="20"/>
          <w:szCs w:val="20"/>
        </w:rPr>
      </w:pPr>
      <w:r w:rsidRPr="00914210">
        <w:rPr>
          <w:rFonts w:ascii="Arial" w:eastAsia="Arial" w:hAnsi="Arial" w:cs="Arial"/>
          <w:sz w:val="20"/>
          <w:szCs w:val="20"/>
        </w:rPr>
        <w:t>Literatur terkini mengidentifikasi munculnya domain baru dalam pengukuran keterampilan hidup siswa sekolah dasar, termasuk kesadaran karier awal, literasi digital, resiliensi, dan keterampilan reflektif sebagai respons terhadap tuntutan masyarakat dan dunia kerja abad ke-21 (Wolter &amp; Timler, 2014; Jocham &amp; Pohlmann-Rother, 2025; Pan et al., 2025). Namun, domain-domain ini masih jarang terintegrasi secara sistematis dalam instrumen asesmen yang tervalidasi secara luas (Hvalby et al., 2024; Akongo et al., 2025).</w:t>
      </w:r>
      <w:r>
        <w:rPr>
          <w:rFonts w:ascii="Arial" w:eastAsia="Arial" w:hAnsi="Arial" w:cs="Arial"/>
          <w:sz w:val="20"/>
          <w:szCs w:val="20"/>
        </w:rPr>
        <w:t xml:space="preserve"> </w:t>
      </w:r>
      <w:r w:rsidRPr="00914210">
        <w:rPr>
          <w:rFonts w:ascii="Arial" w:eastAsia="Arial" w:hAnsi="Arial" w:cs="Arial"/>
          <w:sz w:val="20"/>
          <w:szCs w:val="20"/>
        </w:rPr>
        <w:t xml:space="preserve">Keterbatasan pengukuran pada domain emerging ini menunjukkan adanya kesenjangan antara kebijakan pendidikan dan praktik asesmen di lapangan, sehingga layanan bimbingan dan konseling belum sepenuhnya didukung oleh data asesmen yang relevan untuk perencanaan jangka panjang (Sarwanto et al., 2021; Gysbers &amp; Henderson, 2014). </w:t>
      </w:r>
      <w:r w:rsidRPr="00914210">
        <w:rPr>
          <w:rFonts w:ascii="Arial" w:eastAsia="Arial" w:hAnsi="Arial" w:cs="Arial"/>
          <w:sz w:val="20"/>
          <w:szCs w:val="20"/>
        </w:rPr>
        <w:lastRenderedPageBreak/>
        <w:t>Literatur secara konsisten menekankan perlunya pengembangan instrumen asesmen keterampilan hidup yang adaptif terhadap perubahan sosial, teknologi, dan konteks budaya siswa sekolah dasar (Pan et al., 2025; Abhilashi et al., 2025).</w:t>
      </w:r>
    </w:p>
    <w:p w:rsidR="0059603A" w:rsidRDefault="00914210" w:rsidP="00914210">
      <w:pPr>
        <w:spacing w:after="0"/>
        <w:ind w:firstLine="720"/>
        <w:jc w:val="both"/>
        <w:rPr>
          <w:rFonts w:ascii="Arial" w:eastAsia="Arial" w:hAnsi="Arial" w:cs="Arial"/>
          <w:sz w:val="20"/>
          <w:szCs w:val="20"/>
        </w:rPr>
      </w:pPr>
      <w:r w:rsidRPr="00914210">
        <w:rPr>
          <w:rFonts w:ascii="Arial" w:eastAsia="Arial" w:hAnsi="Arial" w:cs="Arial"/>
          <w:sz w:val="20"/>
          <w:szCs w:val="20"/>
        </w:rPr>
        <w:t>Secara keseluruhan, tren pengukuran keterampilan hidup siswa sekolah dasar menunjukkan dominasi domain sosial dan kognitif, keterbatasan pengukuran domain reflektif dan adaptif, serta minimnya integrasi perspektif bimbingan dan konseling dalam perumusan indikator (Hvalby et al., 2024; Pan et al., 2025). Kondisi ini menegaskan perlunya pengembangan instrumen asesmen yang tidak hanya valid secara psikometrik, tetapi juga bermakna secara pedagogis dan konseling, agar dapat mendukung layanan BK yang preventif, perkembangan, dan berbasis data (Gysbers &amp; Henderson, 2014; Hatch et al., 2022).</w:t>
      </w:r>
    </w:p>
    <w:p w:rsidR="00914210" w:rsidRDefault="00914210" w:rsidP="00914210">
      <w:pPr>
        <w:spacing w:after="0"/>
        <w:ind w:firstLine="720"/>
        <w:jc w:val="both"/>
        <w:rPr>
          <w:rFonts w:ascii="Arial" w:eastAsia="Arial" w:hAnsi="Arial" w:cs="Arial"/>
          <w:sz w:val="20"/>
          <w:szCs w:val="20"/>
        </w:rPr>
      </w:pPr>
    </w:p>
    <w:p w:rsidR="0059603A" w:rsidRPr="0059603A" w:rsidRDefault="0059603A" w:rsidP="0059603A">
      <w:pPr>
        <w:spacing w:after="0"/>
        <w:jc w:val="both"/>
        <w:rPr>
          <w:rFonts w:ascii="Arial" w:eastAsia="Arial" w:hAnsi="Arial" w:cs="Arial"/>
          <w:b/>
          <w:bCs/>
          <w:sz w:val="20"/>
          <w:szCs w:val="20"/>
        </w:rPr>
      </w:pPr>
      <w:r w:rsidRPr="0059603A">
        <w:rPr>
          <w:rFonts w:ascii="Arial" w:eastAsia="Arial" w:hAnsi="Arial" w:cs="Arial"/>
          <w:b/>
          <w:bCs/>
          <w:sz w:val="20"/>
          <w:szCs w:val="20"/>
        </w:rPr>
        <w:t>Jenis Instrumen Asesmen Keterampilan Hidup</w:t>
      </w:r>
    </w:p>
    <w:p w:rsidR="0059603A" w:rsidRDefault="0059603A" w:rsidP="0059603A">
      <w:pPr>
        <w:spacing w:after="0"/>
        <w:ind w:firstLine="720"/>
        <w:jc w:val="both"/>
        <w:rPr>
          <w:rFonts w:ascii="Arial" w:eastAsia="Arial" w:hAnsi="Arial" w:cs="Arial"/>
          <w:sz w:val="20"/>
          <w:szCs w:val="20"/>
        </w:rPr>
      </w:pPr>
      <w:r w:rsidRPr="0059603A">
        <w:rPr>
          <w:rFonts w:ascii="Arial" w:eastAsia="Arial" w:hAnsi="Arial" w:cs="Arial"/>
          <w:sz w:val="20"/>
          <w:szCs w:val="20"/>
        </w:rPr>
        <w:t>Literatur mengidentifikasi beragam jenis instrumen asesmen keterampilan hidup yang digunakan untuk siswa sekolah dasar, masing-masing dengan keunggulan dan keterbatasan yang berbeda (Davydova &amp; Sorokin, 2019; Martinez-Yarya et al., 2023). Kuesioner self-report merupakan jenis instrumen yang paling umum digunakan karena kemudahan administrasi, efisiensi dalam pengumpulan data dari sampel besar, dan kemampuan untuk mengukur persepsi serta sikap internal siswa (Ghombavani et al., 2012; Kobayashi et al., 2013; Beitchman &amp; Corradini, 1988). Instrumen tipe ini umumnya menggunakan skala Likert untuk mengukur domain seperti kesadaran diri, koping, pengambilan keputusan, dan keterampilan sosial dengan tingkat konsistensi internal yang umumnya baik.</w:t>
      </w:r>
    </w:p>
    <w:p w:rsidR="0059603A" w:rsidRDefault="0059603A" w:rsidP="0059603A">
      <w:pPr>
        <w:spacing w:after="0"/>
        <w:ind w:firstLine="720"/>
        <w:jc w:val="both"/>
        <w:rPr>
          <w:rFonts w:ascii="Arial" w:eastAsia="Arial" w:hAnsi="Arial" w:cs="Arial"/>
          <w:sz w:val="20"/>
          <w:szCs w:val="20"/>
        </w:rPr>
      </w:pPr>
      <w:r w:rsidRPr="0059603A">
        <w:rPr>
          <w:rFonts w:ascii="Arial" w:eastAsia="Arial" w:hAnsi="Arial" w:cs="Arial"/>
          <w:sz w:val="20"/>
          <w:szCs w:val="20"/>
        </w:rPr>
        <w:t>Skala observasi menyediakan alternatif penting untuk menilai perilaku nyata siswa dalam situasi sekolah yang natural, sangat berguna terutama untuk siswa yang mengalami kesulitan komunikasi atau verbalisasi (Davydova &amp; Sorokin, 2019; Wright &amp; Michael, 1977; Al-Hendawi et al., 2025). Pendekatan observasional memungkinkan asesor untuk menangkap manifestasi perilaku dari keterampilan hidup dalam konteks yang autentik, mengurangi ketergantungan pada kemampuan self-report siswa (Didaskalou et al., 2022; Casale et al., 2023). Sistem observasi terstandarisasi seperti Classroom Assessment Scoring System dan Individualized Classroom Assessment Scoring System menunjukkan reliabilitas yang kuat dalam menilai interaksi sosial, keterlibatan, dan perilaku di ruang kelas (Al-Hendawi et al., 2025; Didaskalou et al., 2022).</w:t>
      </w:r>
    </w:p>
    <w:p w:rsidR="0059603A" w:rsidRDefault="0059603A" w:rsidP="0059603A">
      <w:pPr>
        <w:spacing w:after="0"/>
        <w:ind w:firstLine="720"/>
        <w:jc w:val="both"/>
        <w:rPr>
          <w:rFonts w:ascii="Arial" w:eastAsia="Arial" w:hAnsi="Arial" w:cs="Arial"/>
          <w:sz w:val="20"/>
          <w:szCs w:val="20"/>
        </w:rPr>
      </w:pPr>
      <w:r>
        <w:rPr>
          <w:rFonts w:ascii="Arial" w:eastAsia="Arial" w:hAnsi="Arial" w:cs="Arial"/>
          <w:sz w:val="20"/>
          <w:szCs w:val="20"/>
        </w:rPr>
        <w:t>I</w:t>
      </w:r>
      <w:r w:rsidRPr="0059603A">
        <w:rPr>
          <w:rFonts w:ascii="Arial" w:eastAsia="Arial" w:hAnsi="Arial" w:cs="Arial"/>
          <w:sz w:val="20"/>
          <w:szCs w:val="20"/>
        </w:rPr>
        <w:t>nstrumen multidimensional yang mengintegrasikan berbagai domain dan metode asesmen menjadi tren penting dalam perkembangan terkini (Kobayashi et al., 2013; Davydova &amp; Sorokin, 2019). Pendekatan multi-metode yang menggabungkan self-report, penilaian guru, penilaian orang tua, dan observasi langsung meningkatkan validitas dengan menyediakan perspektif yang komprehensif tentang kompetensi siswa (Epkins &amp; Meyers, 1994; Thomas, 1995; Himmelmeier et al., 2025). Triangulasi data dari berbagai sumber memungkinkan identifikasi yang lebih akurat terhadap kekuatan dan kebutuhan siswa, mengurangi bias yang melekat dalam metode tunggal.</w:t>
      </w:r>
    </w:p>
    <w:p w:rsidR="0059603A" w:rsidRDefault="0059603A" w:rsidP="0059603A">
      <w:pPr>
        <w:spacing w:after="0"/>
        <w:ind w:firstLine="720"/>
        <w:jc w:val="both"/>
        <w:rPr>
          <w:rFonts w:ascii="Arial" w:eastAsia="Arial" w:hAnsi="Arial" w:cs="Arial"/>
          <w:sz w:val="20"/>
          <w:szCs w:val="20"/>
        </w:rPr>
      </w:pPr>
      <w:r w:rsidRPr="0059603A">
        <w:rPr>
          <w:rFonts w:ascii="Arial" w:eastAsia="Arial" w:hAnsi="Arial" w:cs="Arial"/>
          <w:sz w:val="20"/>
          <w:szCs w:val="20"/>
        </w:rPr>
        <w:t>Instrumen khusus telah dikembangkan untuk populasi dengan kebutuhan khusus, khususnya anak dengan autisme dan disabilitas perkembangan (Vlachou et al., 2025; Smith &amp; Matson, 2010; Wittevrongel et al., 2022). Checklist for Life Skills Educational Assessment, Adaptive Behavior Assessment System-Second Edition, dan Autism Comprehensive Life Skills Assessment-Modified dirancang untuk menilai keterampilan hidup harian, sosial, dan vokasional dengan mempertimbangkan karakteristik unik populasi ini (Vlachou et al., 2025; Wittevrongel et al., 2022). Teknologi berbasis aplikasi seperti I-</w:t>
      </w:r>
      <w:r w:rsidRPr="0059603A">
        <w:rPr>
          <w:rFonts w:ascii="Arial" w:eastAsia="Arial" w:hAnsi="Arial" w:cs="Arial"/>
          <w:sz w:val="20"/>
          <w:szCs w:val="20"/>
        </w:rPr>
        <w:lastRenderedPageBreak/>
        <w:t>Connect dan penggunaan tablet telah terbukti meningkatkan keterlibatan dan akurasi asesmen untuk siswa dengan kesulitan komunikasi melalui penggunaan ilustrasi visual dan skala yang ramah anak (Fuqua et al., 2025; Villányi et al., 2018).</w:t>
      </w:r>
    </w:p>
    <w:p w:rsidR="0059603A" w:rsidRDefault="0059603A" w:rsidP="0059603A">
      <w:pPr>
        <w:spacing w:after="0"/>
        <w:ind w:firstLine="720"/>
        <w:jc w:val="both"/>
        <w:rPr>
          <w:rFonts w:ascii="Arial" w:eastAsia="Arial" w:hAnsi="Arial" w:cs="Arial"/>
          <w:sz w:val="20"/>
          <w:szCs w:val="20"/>
        </w:rPr>
      </w:pPr>
      <w:r w:rsidRPr="0059603A">
        <w:rPr>
          <w:rFonts w:ascii="Arial" w:eastAsia="Arial" w:hAnsi="Arial" w:cs="Arial"/>
          <w:sz w:val="20"/>
          <w:szCs w:val="20"/>
        </w:rPr>
        <w:t>Asesmen berbasis kinerja dan skenario menyediakan pengukuran autentik terhadap kemampuan fungsional melalui tugas yang mensimulasikan situasi kehidupan nyata (Mutweleli et al., 2024; Nansubuga et al., 2024). Pendekatan ini sangat berharga dalam konteks sumber daya rendah dan lintas budaya karena mengurangi ketergantungan pada kemampuan literasi dan memungkinkan observasi langsung terhadap kompetensi dalam konteks yang relevan secara budaya (Mutweleli et al., 2024; Nakabugo et al., 2024). Instrumen naratif seperti Life Adaptability Qualitative Assessment melengkapi pengukuran kuantitatif dengan menangkap perubahan kualitatif dalam adaptabilitas, konstruksi diri, dan pembentukan makna yang sulit diukur melalui skala numerik (Di Fabio, 2015; Dudek &amp; Cook, 2019).</w:t>
      </w:r>
    </w:p>
    <w:p w:rsidR="0059603A" w:rsidRPr="0059603A" w:rsidRDefault="0059603A" w:rsidP="0059603A">
      <w:pPr>
        <w:spacing w:after="0"/>
        <w:ind w:firstLine="720"/>
        <w:jc w:val="both"/>
        <w:rPr>
          <w:rFonts w:ascii="Arial" w:eastAsia="Arial" w:hAnsi="Arial" w:cs="Arial"/>
          <w:sz w:val="20"/>
          <w:szCs w:val="20"/>
        </w:rPr>
      </w:pPr>
      <w:r w:rsidRPr="0059603A">
        <w:rPr>
          <w:rFonts w:ascii="Arial" w:eastAsia="Arial" w:hAnsi="Arial" w:cs="Arial"/>
          <w:sz w:val="20"/>
          <w:szCs w:val="20"/>
        </w:rPr>
        <w:t>Inovasi format item juga muncul sebagai respons terhadap keterbatasan format tradisional, dengan penggunaan pertanyaan terbuka, format multimodal, dan asesmen digital yang meningkatkan validitas dan keterlibatan siswa dalam mengukur berpikir kritis dan literasi digital (Sarwanto et al., 2021; Wan &amp; Henly, 2012; Oakley et al., 2020). Platform digital dan serious games menawarkan potensi untuk asesmen yang responsif secara real-time, objektif, dan dapat diskalakan, meskipun memerlukan validasi lebih lanjut dan mempertimbangkan literasi digital serta aksesibilitas (Cornacchia et al., 2025; Zhidkikh et al., 2023).</w:t>
      </w:r>
    </w:p>
    <w:p w:rsidR="0059603A" w:rsidRPr="0059603A" w:rsidRDefault="0059603A" w:rsidP="0059603A">
      <w:pPr>
        <w:spacing w:after="0"/>
        <w:jc w:val="both"/>
        <w:rPr>
          <w:rFonts w:ascii="Arial" w:eastAsia="Arial" w:hAnsi="Arial" w:cs="Arial"/>
          <w:sz w:val="20"/>
          <w:szCs w:val="20"/>
        </w:rPr>
      </w:pPr>
    </w:p>
    <w:p w:rsidR="0059603A" w:rsidRPr="006615DE" w:rsidRDefault="0059603A" w:rsidP="0059603A">
      <w:pPr>
        <w:spacing w:after="0"/>
        <w:jc w:val="both"/>
        <w:rPr>
          <w:rFonts w:ascii="Arial" w:eastAsia="Arial" w:hAnsi="Arial" w:cs="Arial"/>
          <w:b/>
          <w:bCs/>
          <w:sz w:val="20"/>
          <w:szCs w:val="20"/>
        </w:rPr>
      </w:pPr>
      <w:r w:rsidRPr="006615DE">
        <w:rPr>
          <w:rFonts w:ascii="Arial" w:eastAsia="Arial" w:hAnsi="Arial" w:cs="Arial"/>
          <w:b/>
          <w:bCs/>
          <w:sz w:val="20"/>
          <w:szCs w:val="20"/>
        </w:rPr>
        <w:t>Negara dan Fokus Pengembangan Instrumen</w:t>
      </w:r>
    </w:p>
    <w:p w:rsidR="0059603A" w:rsidRDefault="0059603A" w:rsidP="0059603A">
      <w:pPr>
        <w:spacing w:after="0"/>
        <w:ind w:firstLine="720"/>
        <w:jc w:val="both"/>
        <w:rPr>
          <w:rFonts w:ascii="Arial" w:eastAsia="Arial" w:hAnsi="Arial" w:cs="Arial"/>
          <w:sz w:val="20"/>
          <w:szCs w:val="20"/>
        </w:rPr>
      </w:pPr>
      <w:r w:rsidRPr="0059603A">
        <w:rPr>
          <w:rFonts w:ascii="Arial" w:eastAsia="Arial" w:hAnsi="Arial" w:cs="Arial"/>
          <w:sz w:val="20"/>
          <w:szCs w:val="20"/>
        </w:rPr>
        <w:t>Pengembangan instrumen asesmen keterampilan hidup sangat dipengaruhi oleh konteks lokal, kebijakan pendidikan, ketersediaan sumber daya, dan nilai-nilai budaya yang berlaku di setiap negara (Shariff et al., 2024; Kanjee, 2018; Yildirim &amp; Niyomugabo, 2025). Literatur menunjukkan bahwa sebagian besar instrumen dikembangkan dan divalidasi dalam konteks negara-negara Barat atau berpenghasilan tinggi, dengan representasi yang terbatas dari negara-negara berpenghasilan rendah dan menengah serta konteks non-Barat (Akongo et al., 2025; Kusi-Mensah et al., 2022; Hvalby et al., 2024). Kesenjangan ini menimbulkan pertanyaan penting tentang generalisabilitas dan relevansi instrumen yang ada ketika diterapkan di konteks budaya yang berbeda tanpa adaptasi yang memadai</w:t>
      </w:r>
      <w:r>
        <w:rPr>
          <w:rFonts w:ascii="Arial" w:eastAsia="Arial" w:hAnsi="Arial" w:cs="Arial"/>
          <w:sz w:val="20"/>
          <w:szCs w:val="20"/>
        </w:rPr>
        <w:t>.</w:t>
      </w:r>
    </w:p>
    <w:p w:rsidR="0059603A" w:rsidRDefault="0059603A" w:rsidP="0059603A">
      <w:pPr>
        <w:spacing w:after="0"/>
        <w:ind w:firstLine="720"/>
        <w:jc w:val="both"/>
        <w:rPr>
          <w:rFonts w:ascii="Arial" w:eastAsia="Arial" w:hAnsi="Arial" w:cs="Arial"/>
          <w:sz w:val="20"/>
          <w:szCs w:val="20"/>
        </w:rPr>
      </w:pPr>
      <w:r w:rsidRPr="0059603A">
        <w:rPr>
          <w:rFonts w:ascii="Arial" w:eastAsia="Arial" w:hAnsi="Arial" w:cs="Arial"/>
          <w:sz w:val="20"/>
          <w:szCs w:val="20"/>
        </w:rPr>
        <w:t>Faktor sosial-ekonomi dan budaya memainkan peran krusial dalam membentuk prioritas dan manifestasi keterampilan hidup di berbagai wilayah. Di Afrika Timur, instrumen dikembangkan dengan mempertimbangkan nilai-nilai lokal seperti komunalitas, kesadaran diri dalam konteks kolektif, dan penghormatan terhadap hierarki sosial yang berbeda dengan penekanan individualistik dalam instrumen Barat (Akongo et al., 2025; Giacomazzi, 2024; Shariff et al., 2024). Kesenjangan sumber daya di wilayah ini memerlukan pendekatan berbasis rumah tangga dengan partisipasi komunitas yang lebih luas, serta penggunaan metode asesmen yang tidak terlalu bergantung pada infrastruktur sekolah formal (Nakabugo et al., 2024; Mutweleli et al., 2024). Studi komparatif antara Turki dan Rwanda menunjukkan perbedaan signifikan dalam skor keterampilan hidup anak prasekolah, dengan anak-anak Turki menunjukkan skor lebih tinggi dalam kehidupan sosial dan pengambilan keputusan yang mencerminkan perbedaan dalam praktik pendidikan dan kondisi sosial-ekonomi (Yildirim &amp; Niyomugabo, 2025).</w:t>
      </w:r>
    </w:p>
    <w:p w:rsidR="0059603A" w:rsidRDefault="0059603A" w:rsidP="0059603A">
      <w:pPr>
        <w:spacing w:after="0"/>
        <w:ind w:firstLine="720"/>
        <w:jc w:val="both"/>
        <w:rPr>
          <w:rFonts w:ascii="Arial" w:eastAsia="Arial" w:hAnsi="Arial" w:cs="Arial"/>
          <w:sz w:val="20"/>
          <w:szCs w:val="20"/>
        </w:rPr>
      </w:pPr>
      <w:r w:rsidRPr="0059603A">
        <w:rPr>
          <w:rFonts w:ascii="Arial" w:eastAsia="Arial" w:hAnsi="Arial" w:cs="Arial"/>
          <w:sz w:val="20"/>
          <w:szCs w:val="20"/>
        </w:rPr>
        <w:t xml:space="preserve">Adaptasi budaya instrumen melibatkan proses yang kompleks dan multifaset yang melampaui sekadar terjemahan linguistik. Proses yang efektif mencakup terjemahan maju </w:t>
      </w:r>
      <w:r w:rsidRPr="0059603A">
        <w:rPr>
          <w:rFonts w:ascii="Arial" w:eastAsia="Arial" w:hAnsi="Arial" w:cs="Arial"/>
          <w:sz w:val="20"/>
          <w:szCs w:val="20"/>
        </w:rPr>
        <w:lastRenderedPageBreak/>
        <w:t>dan mundur, tinjauan ahli untuk kesetaraan konseptual, uji coba dengan populasi target, dan validasi psikometrik dalam konteks lokal (Kohrt et al., 2011; Alavi et al., 2026; Nyongesa et al., 2022; Manohara et al., 2025). Tantangan utama dalam validasi lintas budaya meliputi relevansi konseptual dimana beberapa konstruk keterampilan hidup mungkin tidak memiliki ekuivalen langsung atau dipahami secara berbeda dalam budaya tertentu, kesetaraan semantik dalam memastikan bahwa item instrumen mempertahankan makna yang dimaksudkan setelah diterjemahkan, dan validasi psikometrik yang memerlukan ukuran sampel yang memadai dan metode analisis yang tepat untuk memastikan reliabilitas dan validitas dalam konteks baru (McHenry et al., 2023; Abhilashi et al., 2025; Stowell et al., 2025).</w:t>
      </w:r>
    </w:p>
    <w:p w:rsidR="0059603A" w:rsidRPr="0059603A" w:rsidRDefault="0059603A" w:rsidP="0059603A">
      <w:pPr>
        <w:spacing w:after="0"/>
        <w:ind w:firstLine="720"/>
        <w:jc w:val="both"/>
        <w:rPr>
          <w:rFonts w:ascii="Arial" w:eastAsia="Arial" w:hAnsi="Arial" w:cs="Arial"/>
          <w:sz w:val="20"/>
          <w:szCs w:val="20"/>
        </w:rPr>
      </w:pPr>
      <w:r w:rsidRPr="0059603A">
        <w:rPr>
          <w:rFonts w:ascii="Arial" w:eastAsia="Arial" w:hAnsi="Arial" w:cs="Arial"/>
          <w:sz w:val="20"/>
          <w:szCs w:val="20"/>
        </w:rPr>
        <w:t>Strategi efektif untuk asesmen dalam konteks sumber daya terbatas mencakup kolaborasi dengan komunitas lokal dan pelatihan asesor lokal yang meningkatkan akseptabilitas budaya dan kualitas data (Kallam et al., 2018; Nakabugo et al., 2024; Mutweleli et al., 2024). Penggunaan metode skenario berbasis kehidupan sehari-hari yang mengurangi ketergantungan pada literasi formal dan memungkinkan asesmen dalam bahasa lokal telah terbukti efektif (Mutweleli et al., 2024; Nansubuga et al., 2024). Pendekatan partisipatif yang melibatkan pemangku kepentingan lokal dalam desain dan implementasi instrumen meningkatkan relevansi kontekstual dan keberlanjutan program asesmen (Kabutha Mugo, 2024; Turner et al., 2024). Investasi dalam pengembangan kapasitas lokal untuk administrasi dan interpretasi asesmen memastikan keberlanjutan jangka panjang dan kepemilikan lokal terhadap proses asesmen (Shariff et al., 2024; Akongo et al., 2025).</w:t>
      </w:r>
    </w:p>
    <w:p w:rsidR="0059603A" w:rsidRDefault="0059603A" w:rsidP="0059603A">
      <w:pPr>
        <w:spacing w:after="0"/>
        <w:jc w:val="both"/>
        <w:rPr>
          <w:rFonts w:ascii="Arial" w:eastAsia="Arial" w:hAnsi="Arial" w:cs="Arial"/>
          <w:sz w:val="20"/>
          <w:szCs w:val="20"/>
        </w:rPr>
      </w:pPr>
    </w:p>
    <w:p w:rsidR="0059603A" w:rsidRPr="006615DE" w:rsidRDefault="0059603A" w:rsidP="0059603A">
      <w:pPr>
        <w:spacing w:after="0"/>
        <w:jc w:val="both"/>
        <w:rPr>
          <w:rFonts w:ascii="Arial" w:eastAsia="Arial" w:hAnsi="Arial" w:cs="Arial"/>
          <w:b/>
          <w:bCs/>
          <w:sz w:val="20"/>
          <w:szCs w:val="20"/>
        </w:rPr>
      </w:pPr>
      <w:r w:rsidRPr="006615DE">
        <w:rPr>
          <w:rFonts w:ascii="Arial" w:eastAsia="Arial" w:hAnsi="Arial" w:cs="Arial"/>
          <w:b/>
          <w:bCs/>
          <w:sz w:val="20"/>
          <w:szCs w:val="20"/>
        </w:rPr>
        <w:t>Karakteristik Psikometrik Instrumen</w:t>
      </w:r>
    </w:p>
    <w:p w:rsidR="0059603A" w:rsidRDefault="0059603A" w:rsidP="0059603A">
      <w:pPr>
        <w:spacing w:after="0"/>
        <w:ind w:firstLine="720"/>
        <w:jc w:val="both"/>
        <w:rPr>
          <w:rFonts w:ascii="Arial" w:eastAsia="Arial" w:hAnsi="Arial" w:cs="Arial"/>
          <w:sz w:val="20"/>
          <w:szCs w:val="20"/>
        </w:rPr>
      </w:pPr>
      <w:r w:rsidRPr="0059603A">
        <w:rPr>
          <w:rFonts w:ascii="Arial" w:eastAsia="Arial" w:hAnsi="Arial" w:cs="Arial"/>
          <w:sz w:val="20"/>
          <w:szCs w:val="20"/>
        </w:rPr>
        <w:t>Reliabilitas dan validitas merupakan karakteristik psikometrik fundamental yang menentukan kualitas instrumen asesmen keterampilan hidup. Sebagian besar instrumen yang tervalidasi menunjukkan konsistensi internal yang baik hingga sangat baik dengan koefisien alfa Cronbach berkisar antara nol koma tujuh satu hingga nol koma sembilan lima, mengindikasikan homogenitas item dalam mengukur konstruk yang sama (Kobayashi et al., 2013; Ghombavani et al., 2012; Arnesen et al., 2018; Ennis et al., 2012). Reliabilitas tes-ulang juga menunjukkan stabilitas yang kuat dalam instrumen yang telah divalidasi secara komprehensif, menunjukkan bahwa pengukuran konsisten dari waktu ke waktu ketika tidak ada perubahan yang diharapkan dalam kompetensi yang diukur (Kobayashi et al., 2013; Seligson et al., 2005; Huebner, 1995).</w:t>
      </w:r>
    </w:p>
    <w:p w:rsidR="0059603A" w:rsidRDefault="0059603A" w:rsidP="0059603A">
      <w:pPr>
        <w:spacing w:after="0"/>
        <w:ind w:firstLine="720"/>
        <w:jc w:val="both"/>
        <w:rPr>
          <w:rFonts w:ascii="Arial" w:eastAsia="Arial" w:hAnsi="Arial" w:cs="Arial"/>
          <w:sz w:val="20"/>
          <w:szCs w:val="20"/>
        </w:rPr>
      </w:pPr>
      <w:r w:rsidRPr="0059603A">
        <w:rPr>
          <w:rFonts w:ascii="Arial" w:eastAsia="Arial" w:hAnsi="Arial" w:cs="Arial"/>
          <w:sz w:val="20"/>
          <w:szCs w:val="20"/>
        </w:rPr>
        <w:t>Validitas konstruk didukung melalui analisis faktor konfirmatori yang menunjukkan bahwa struktur faktor instrumen sesuai dengan kerangka teoritis yang mendasarinya, dengan indikator kecocokan model seperti Goodness of Fit Index, Comparative Fit Index, dan Root Mean Square Error of Approximation yang memenuhi kriteria standar (Kobayashi et al., 2013; Ghombavani et al., 2012; Arnesen et al., 2018). Validitas konkuren dan prediktif ditunjukkan melalui korelasi dengan instrumen yang sudah mapan dan hubungan dengan hasil penting seperti prestasi akademik, kesejahteraan psikologis, dan fungsi sosial (Ennis et al., 2012; Seligson et al., 2005; Brigman et al., 2015).</w:t>
      </w:r>
    </w:p>
    <w:p w:rsidR="0059603A" w:rsidRDefault="0059603A" w:rsidP="0059603A">
      <w:pPr>
        <w:spacing w:after="0"/>
        <w:ind w:firstLine="720"/>
        <w:jc w:val="both"/>
        <w:rPr>
          <w:rFonts w:ascii="Arial" w:eastAsia="Arial" w:hAnsi="Arial" w:cs="Arial"/>
          <w:sz w:val="20"/>
          <w:szCs w:val="20"/>
        </w:rPr>
      </w:pPr>
      <w:r w:rsidRPr="0059603A">
        <w:rPr>
          <w:rFonts w:ascii="Arial" w:eastAsia="Arial" w:hAnsi="Arial" w:cs="Arial"/>
          <w:sz w:val="20"/>
          <w:szCs w:val="20"/>
        </w:rPr>
        <w:t xml:space="preserve">Penggunaan metode psikometrik lanjutan seperti model bifaktor, analisis faktor eksploratori-konfirmatori bifaktor esensial, dan teori respons item semakin umum dalam pengembangan dan validasi instrumen (Vahdani et al., 2024; Fuentes et al., 2025; Coşkun et al., 2025). Pendekatan ini memungkinkan pemisahan varians umum dari varians spesifik domain, memberikan pemahaman yang lebih nuansa tentang struktur multidimensional keterampilan hidup dan meningkatkan presisi pengukuran (Pacewicz et al., 2024; Vahdani </w:t>
      </w:r>
      <w:r w:rsidRPr="0059603A">
        <w:rPr>
          <w:rFonts w:ascii="Arial" w:eastAsia="Arial" w:hAnsi="Arial" w:cs="Arial"/>
          <w:sz w:val="20"/>
          <w:szCs w:val="20"/>
        </w:rPr>
        <w:lastRenderedPageBreak/>
        <w:t>et al., 2024). Analisis invariansi pengukuran menjadi komponen penting dalam validasi lintas budaya dan lintas kelompok, memastikan bahwa instrumen mengukur konstruk yang sama dengan cara yang sama di berbagai populasi (Kase &amp; Endo, 2023; Maddah et al., 2023; Zeng et al., 2018).</w:t>
      </w:r>
    </w:p>
    <w:p w:rsidR="0059603A" w:rsidRDefault="0059603A" w:rsidP="0059603A">
      <w:pPr>
        <w:spacing w:after="0"/>
        <w:ind w:firstLine="720"/>
        <w:jc w:val="both"/>
        <w:rPr>
          <w:rFonts w:ascii="Arial" w:eastAsia="Arial" w:hAnsi="Arial" w:cs="Arial"/>
          <w:sz w:val="20"/>
          <w:szCs w:val="20"/>
        </w:rPr>
      </w:pPr>
      <w:r w:rsidRPr="0059603A">
        <w:rPr>
          <w:rFonts w:ascii="Arial" w:eastAsia="Arial" w:hAnsi="Arial" w:cs="Arial"/>
          <w:sz w:val="20"/>
          <w:szCs w:val="20"/>
        </w:rPr>
        <w:t>Validasi instrumen asesmen keterampilan hidup di berbagai negara menunjukkan hasil yang bervariasi namun umumnya menjanjikan. Skala seperti Multidimensional Scale of Life Skills dan Life Skills Scale for Adolescents and Adults telah menunjukkan invariansi pengukuran yang kuat di seluruh sampel dari Jepang, Cina, Amerika Serikat, dan Lebanon, mendukung penggunaannya dalam penelitian lintas budaya (Kase &amp; Endo, 2023; Zhu et al., 2023; Abubakar et al., 2016). Namun demikian, invariansi parsial lebih sering ditemukan daripada invariansi penuh, menunjukkan bahwa kehati-hatian diperlukan dalam menginterpretasi perbedaan rata-rata antar budaya dan perlunya adaptasi item spesifik untuk memastikan kesetaraan konseptual (Meuleman, 2012; Valenti &amp; Faraci, 2024).</w:t>
      </w:r>
    </w:p>
    <w:p w:rsidR="0059603A" w:rsidRDefault="0059603A" w:rsidP="0059603A">
      <w:pPr>
        <w:spacing w:after="0"/>
        <w:ind w:firstLine="720"/>
        <w:jc w:val="both"/>
        <w:rPr>
          <w:rFonts w:ascii="Arial" w:eastAsia="Arial" w:hAnsi="Arial" w:cs="Arial"/>
          <w:sz w:val="20"/>
          <w:szCs w:val="20"/>
        </w:rPr>
      </w:pPr>
      <w:r w:rsidRPr="0059603A">
        <w:rPr>
          <w:rFonts w:ascii="Arial" w:eastAsia="Arial" w:hAnsi="Arial" w:cs="Arial"/>
          <w:sz w:val="20"/>
          <w:szCs w:val="20"/>
        </w:rPr>
        <w:t>Konsistensi reliabilitas dan validitas di berbagai populasi menunjukkan pola yang umumnya stabil namun dengan beberapa variasi tergantung pada konteks. Instrumen yang dikembangkan dengan baik umumnya mempertahankan properti psikometrik yang dapat diterima ketika digunakan di populasi perkotaan, pinggiran kota, dan pedesaan, meskipun beberapa studi melaporkan variabilitas yang lebih besar dalam setting sumber daya rendah atau populasi yang sangat beragam (Pedersen et al., 2001; Porter et al., 2018). Hal ini menekankan pentingnya validasi lokal bahkan untuk instrumen yang telah mapan, daripada mengasumsikan transferabilitas otomatis lintas konteks (Uysal-Bozkir et al., 2013; Sanson-Fisher &amp; Perkins, 1998).</w:t>
      </w:r>
    </w:p>
    <w:p w:rsidR="0059603A" w:rsidRDefault="0059603A" w:rsidP="0059603A">
      <w:pPr>
        <w:spacing w:after="0"/>
        <w:ind w:firstLine="720"/>
        <w:jc w:val="both"/>
        <w:rPr>
          <w:rFonts w:ascii="Arial" w:eastAsia="Arial" w:hAnsi="Arial" w:cs="Arial"/>
          <w:sz w:val="20"/>
          <w:szCs w:val="20"/>
        </w:rPr>
      </w:pPr>
      <w:r w:rsidRPr="0059603A">
        <w:rPr>
          <w:rFonts w:ascii="Arial" w:eastAsia="Arial" w:hAnsi="Arial" w:cs="Arial"/>
          <w:sz w:val="20"/>
          <w:szCs w:val="20"/>
        </w:rPr>
        <w:t>Responsivitas terhadap perubahan merupakan karakteristik psikometrik penting namun sering terabaikan yang menentukan kemampuan instrumen untuk mendeteksi perubahan bermakna setelah intervensi. Beberapa instrumen seperti Ansell Casey Life Skills Assessment dan Life Skills Scale for Sport telah menunjukkan sensitivitas terhadap efek intervensi, membuatnya berguna untuk evaluasi program (Helfrich et al., 2006; Lim et al., 2019). Namun demikian, banyak instrumen kekurangan data responsivitas yang kuat, membatasi utilitas mereka untuk pemantauan kemajuan dan evaluasi hasil (Rosen et al., 2001; Raphael et al., 1999). Domain afektif dan perilaku tetap kurang terwakili dan menantang untuk diukur dalam banyak instrumen karena subjektivitas yang melekat dan kurangnya metrik standar (Nathan et al., 2017; Dietrich, 1980).</w:t>
      </w:r>
    </w:p>
    <w:p w:rsidR="0059603A" w:rsidRPr="0059603A" w:rsidRDefault="0059603A" w:rsidP="0059603A">
      <w:pPr>
        <w:spacing w:after="0"/>
        <w:ind w:firstLine="720"/>
        <w:jc w:val="both"/>
        <w:rPr>
          <w:rFonts w:ascii="Arial" w:eastAsia="Arial" w:hAnsi="Arial" w:cs="Arial"/>
          <w:sz w:val="20"/>
          <w:szCs w:val="20"/>
        </w:rPr>
      </w:pPr>
    </w:p>
    <w:p w:rsidR="0059603A" w:rsidRPr="0059603A" w:rsidRDefault="0059603A" w:rsidP="0059603A">
      <w:pPr>
        <w:spacing w:after="0"/>
        <w:jc w:val="both"/>
        <w:rPr>
          <w:rFonts w:ascii="Arial" w:eastAsia="Arial" w:hAnsi="Arial" w:cs="Arial"/>
          <w:b/>
          <w:bCs/>
          <w:sz w:val="20"/>
          <w:szCs w:val="20"/>
        </w:rPr>
      </w:pPr>
      <w:r w:rsidRPr="0059603A">
        <w:rPr>
          <w:rFonts w:ascii="Arial" w:eastAsia="Arial" w:hAnsi="Arial" w:cs="Arial"/>
          <w:b/>
          <w:bCs/>
          <w:sz w:val="20"/>
          <w:szCs w:val="20"/>
        </w:rPr>
        <w:t>Implikasi untuk Praktik Bimbingan dan Konseling</w:t>
      </w:r>
    </w:p>
    <w:p w:rsidR="0059603A" w:rsidRDefault="0059603A" w:rsidP="0059603A">
      <w:pPr>
        <w:spacing w:after="0"/>
        <w:ind w:firstLine="720"/>
        <w:jc w:val="both"/>
        <w:rPr>
          <w:rFonts w:ascii="Arial" w:eastAsia="Arial" w:hAnsi="Arial" w:cs="Arial"/>
          <w:sz w:val="20"/>
          <w:szCs w:val="20"/>
        </w:rPr>
      </w:pPr>
      <w:r w:rsidRPr="0059603A">
        <w:rPr>
          <w:rFonts w:ascii="Arial" w:eastAsia="Arial" w:hAnsi="Arial" w:cs="Arial"/>
          <w:sz w:val="20"/>
          <w:szCs w:val="20"/>
        </w:rPr>
        <w:t>Asesmen keterampilan hidup memiliki implikasi langsung dan substansial untuk praktik bimbingan dan konseling di sekolah dasar dalam beberapa dimensi kunci. Fungsi utama asesmen adalah identifikasi kebutuhan siswa yang memungkinkan konselor untuk mengenali kekuatan dan defisit perkembangan secara tepat, menginformasikan desain intervensi yang ditargetkan dan berbasis data (Picklesimer &amp; Miller, 1998; Kadish et al., 2001; Davydova &amp; Sorokin, 2019). Data asesmen yang komprehensif memungkinkan profiling individual yang memfasilitasi pemahaman holistik tentang kapasitas siswa di berbagai domain keterampilan hidup, mendukung pendekatan bimbingan yang dipersonalisasi (Ghombavani et al., 2012; Khadka et al., 2025).</w:t>
      </w:r>
    </w:p>
    <w:p w:rsidR="0059603A" w:rsidRDefault="0059603A" w:rsidP="0059603A">
      <w:pPr>
        <w:spacing w:after="0"/>
        <w:ind w:firstLine="720"/>
        <w:jc w:val="both"/>
        <w:rPr>
          <w:rFonts w:ascii="Arial" w:eastAsia="Arial" w:hAnsi="Arial" w:cs="Arial"/>
          <w:sz w:val="20"/>
          <w:szCs w:val="20"/>
        </w:rPr>
      </w:pPr>
      <w:r w:rsidRPr="0059603A">
        <w:rPr>
          <w:rFonts w:ascii="Arial" w:eastAsia="Arial" w:hAnsi="Arial" w:cs="Arial"/>
          <w:sz w:val="20"/>
          <w:szCs w:val="20"/>
        </w:rPr>
        <w:t xml:space="preserve">Intervensi yang disesuaikan berdasarkan data asesmen menunjukkan efektivitas yang lebih tinggi dalam meningkatkan berbagai hasil siswa. Program pelatihan keterampilan hidup yang diinformasikan oleh asesmen awal terbukti meningkatkan kepercayaan diri sosial, regulasi emosi, keterampilan manajemen diri, dan mengurangi perilaku berisiko pada siswa sekolah dasar (Tymes et al., 2016; de Souza et al., 2021; Wu </w:t>
      </w:r>
      <w:r w:rsidRPr="0059603A">
        <w:rPr>
          <w:rFonts w:ascii="Arial" w:eastAsia="Arial" w:hAnsi="Arial" w:cs="Arial"/>
          <w:sz w:val="20"/>
          <w:szCs w:val="20"/>
        </w:rPr>
        <w:lastRenderedPageBreak/>
        <w:t>et al., 2023; De Souza et al., 2022). Konselor dapat merancang program peningkatan keterampilan sosial, motivasi, dan kesehatan emosional yang disesuaikan dengan profil kebutuhan spesifik siswa atau kelompok siswa (Hartzell et al., 2020; Kilian &amp; Kilian, 2011). Evaluasi efektivitas program menjadi lebih sistematis dan berbasis bukti ketika menggunakan instrumen asesmen yang terstandarisasi untuk mengukur perubahan pra dan pasca intervensi (Ndetei et al., 2019; Maruska et al., 2010).</w:t>
      </w:r>
    </w:p>
    <w:p w:rsidR="0059603A" w:rsidRDefault="0059603A" w:rsidP="0059603A">
      <w:pPr>
        <w:spacing w:after="0"/>
        <w:ind w:firstLine="720"/>
        <w:jc w:val="both"/>
        <w:rPr>
          <w:rFonts w:ascii="Arial" w:eastAsia="Arial" w:hAnsi="Arial" w:cs="Arial"/>
          <w:sz w:val="20"/>
          <w:szCs w:val="20"/>
        </w:rPr>
      </w:pPr>
      <w:r w:rsidRPr="0059603A">
        <w:rPr>
          <w:rFonts w:ascii="Arial" w:eastAsia="Arial" w:hAnsi="Arial" w:cs="Arial"/>
          <w:sz w:val="20"/>
          <w:szCs w:val="20"/>
        </w:rPr>
        <w:t>Model pelatihan guru dan konselor untuk implementasi program keterampilan hidup menunjukkan bahwa kombinasi pemodelan, umpan balik, dan pelatihan kelompok meningkatkan kompetensi profesional dalam administrasi asesmen dan implementasi intervensi (Hahn et al., 2002; Shechtman et al., 2005; Brock &amp; Carter, 2017). Pengembangan kapasitas profesional ini sangat penting karena efektivitas asesmen tidak hanya bergantung pada kualitas instrumen tetapi juga pada kompetensi dan pemahaman praktisi yang menggunakannya (Wijaya et al., 2019; Kerdnaimongkol, 2025). Konselor memerlukan keahlian dalam pemilihan instrumen yang tepat, administrasi yang terstandarisasi, interpretasi hasil yang akurat, dan terjemahan temuan menjadi rekomendasi intervensi yang dapat ditindaklanjuti (Sheperis et al., 2018; Solmonson, 2024).</w:t>
      </w:r>
    </w:p>
    <w:p w:rsidR="0059603A" w:rsidRDefault="0059603A" w:rsidP="0059603A">
      <w:pPr>
        <w:spacing w:after="0"/>
        <w:ind w:firstLine="720"/>
        <w:jc w:val="both"/>
        <w:rPr>
          <w:rFonts w:ascii="Arial" w:eastAsia="Arial" w:hAnsi="Arial" w:cs="Arial"/>
          <w:sz w:val="20"/>
          <w:szCs w:val="20"/>
        </w:rPr>
      </w:pPr>
      <w:r w:rsidRPr="0059603A">
        <w:rPr>
          <w:rFonts w:ascii="Arial" w:eastAsia="Arial" w:hAnsi="Arial" w:cs="Arial"/>
          <w:sz w:val="20"/>
          <w:szCs w:val="20"/>
        </w:rPr>
        <w:t>Strategi komunikasi yang efektif dengan siswa merupakan komponen kritis dalam asesmen yang bermakna, terutama dalam konteks yang beragam. Komunikasi yang sesuai perkembangan memerlukan adaptasi bahasa, lingkungan, dan teknik bertanya untuk melibatkan siswa sekolah dasar secara efektif (Erdman &amp; Lampe, 1996; González-Rosario &amp; Gibbons, 2025). Responsivitas budaya dalam komunikasi mencakup penggunaan lensa multikultural, bahasa yang jelas, dan alat bantu visual untuk terhubung dengan siswa dari latar belakang yang beragam (Vitto, 2024; Conoley et al., 2015). Mendengarkan aktif dan empati membangun kepercayaan dan hubungan, sangat penting ketika bekerja dengan siswa dari latar belakang terpinggirkan atau dengan kebutuhan khusus (Erdman &amp; Lampe, 1996; González-Rosario &amp; Gibbons, 2025).</w:t>
      </w:r>
    </w:p>
    <w:p w:rsidR="0059603A" w:rsidRDefault="0059603A" w:rsidP="0059603A">
      <w:pPr>
        <w:spacing w:after="0"/>
        <w:ind w:firstLine="720"/>
        <w:jc w:val="both"/>
        <w:rPr>
          <w:rFonts w:ascii="Arial" w:eastAsia="Arial" w:hAnsi="Arial" w:cs="Arial"/>
          <w:sz w:val="20"/>
          <w:szCs w:val="20"/>
        </w:rPr>
      </w:pPr>
      <w:r w:rsidRPr="0059603A">
        <w:rPr>
          <w:rFonts w:ascii="Arial" w:eastAsia="Arial" w:hAnsi="Arial" w:cs="Arial"/>
          <w:sz w:val="20"/>
          <w:szCs w:val="20"/>
        </w:rPr>
        <w:t>Kolaborasi dengan guru dan keluarga memperkuat dampak asesmen keterampilan hidup melalui interpretasi data bersama untuk menginformasikan rencana pendidikan individual, pelibatan orang tua dalam memahami dan mendukung pengembangan keterampilan hidup anak, dan penggunaan data asesmen untuk mengadvokasi perubahan tingkat sekolah atau kebijakan (Hatch et al., 2022; Amatea et al., 2013; de los Ángeles Cueli Naranjo &amp; Larrosa, 2022). Pendekatan kolaboratif memastikan bahwa data asesmen mengarah pada intervensi yang dapat ditindaklanjuti dan relevan secara kontekstual yang didukung oleh ekosistem pendukung siswa yang lengkap (Brown &amp; Johnson, 2024; Solmonson, 2024).</w:t>
      </w:r>
    </w:p>
    <w:p w:rsidR="0059603A" w:rsidRPr="0059603A" w:rsidRDefault="0059603A" w:rsidP="0059603A">
      <w:pPr>
        <w:spacing w:after="0"/>
        <w:ind w:firstLine="720"/>
        <w:jc w:val="both"/>
        <w:rPr>
          <w:rFonts w:ascii="Arial" w:eastAsia="Arial" w:hAnsi="Arial" w:cs="Arial"/>
          <w:sz w:val="20"/>
          <w:szCs w:val="20"/>
        </w:rPr>
      </w:pPr>
      <w:r>
        <w:rPr>
          <w:rFonts w:ascii="Arial" w:eastAsia="Arial" w:hAnsi="Arial" w:cs="Arial"/>
          <w:sz w:val="20"/>
          <w:szCs w:val="20"/>
        </w:rPr>
        <w:t>I</w:t>
      </w:r>
      <w:r w:rsidRPr="0059603A">
        <w:rPr>
          <w:rFonts w:ascii="Arial" w:eastAsia="Arial" w:hAnsi="Arial" w:cs="Arial"/>
          <w:sz w:val="20"/>
          <w:szCs w:val="20"/>
        </w:rPr>
        <w:t>nstrumen berbasis narasi melengkapi pengukuran kuantitatif dengan menangkap perubahan kualitatif dalam adaptabilitas, konstruksi diri, dan pembentukan makna yang sulit dikuantifikasi (Di Fabio, 2015; Dudek &amp; Cook, 2019). Asesmen naratif memberikan umpan balik formatif yang kaya dan mendukung praktik reflektif, memungkinkan pemahaman yang lebih mendalam tentang pertumbuhan siswa dan efektivitas konseling (Di Fabio, 2015; Oktaviana et al., 2026). Integrasi pendekatan naratif dan kuantitatif menghasilkan pemahaman yang lebih komprehensif tentang perkembangan siswa dan hasil konseling, mendukung pengambilan keputusan yang lebih informasi dalam praktik bimbingan dan konseling (Dudek &amp; Cook, 2019; Hatch et al., 2022).</w:t>
      </w:r>
    </w:p>
    <w:p w:rsidR="0059603A" w:rsidRDefault="0059603A" w:rsidP="0059603A">
      <w:pPr>
        <w:spacing w:after="0"/>
        <w:jc w:val="both"/>
        <w:rPr>
          <w:rFonts w:ascii="Arial" w:eastAsia="Arial" w:hAnsi="Arial" w:cs="Arial"/>
          <w:sz w:val="20"/>
          <w:szCs w:val="20"/>
        </w:rPr>
      </w:pPr>
    </w:p>
    <w:p w:rsidR="0059603A" w:rsidRPr="0059603A" w:rsidRDefault="0059603A" w:rsidP="0059603A">
      <w:pPr>
        <w:spacing w:after="0"/>
        <w:jc w:val="both"/>
        <w:rPr>
          <w:rFonts w:ascii="Arial" w:eastAsia="Arial" w:hAnsi="Arial" w:cs="Arial"/>
          <w:b/>
          <w:bCs/>
          <w:sz w:val="20"/>
          <w:szCs w:val="20"/>
        </w:rPr>
      </w:pPr>
      <w:r w:rsidRPr="0059603A">
        <w:rPr>
          <w:rFonts w:ascii="Arial" w:eastAsia="Arial" w:hAnsi="Arial" w:cs="Arial"/>
          <w:b/>
          <w:bCs/>
          <w:sz w:val="20"/>
          <w:szCs w:val="20"/>
        </w:rPr>
        <w:t>Peluang Pengembangan Instrumen</w:t>
      </w:r>
    </w:p>
    <w:p w:rsidR="0059603A" w:rsidRDefault="0059603A" w:rsidP="0059603A">
      <w:pPr>
        <w:spacing w:after="0"/>
        <w:ind w:firstLine="720"/>
        <w:jc w:val="both"/>
        <w:rPr>
          <w:rFonts w:ascii="Arial" w:eastAsia="Arial" w:hAnsi="Arial" w:cs="Arial"/>
          <w:sz w:val="20"/>
          <w:szCs w:val="20"/>
        </w:rPr>
      </w:pPr>
      <w:r w:rsidRPr="0059603A">
        <w:rPr>
          <w:rFonts w:ascii="Arial" w:eastAsia="Arial" w:hAnsi="Arial" w:cs="Arial"/>
          <w:sz w:val="20"/>
          <w:szCs w:val="20"/>
        </w:rPr>
        <w:lastRenderedPageBreak/>
        <w:t xml:space="preserve">Analisis kesenjangan dalam literatur mengungkapkan beberapa peluang penting untuk pengembangan instrumen asesmen keterampilan hidup yang lebih efektif dan relevan. Keterampilan abad </w:t>
      </w:r>
      <w:r w:rsidR="00537A84">
        <w:rPr>
          <w:rFonts w:ascii="Arial" w:eastAsia="Arial" w:hAnsi="Arial" w:cs="Arial"/>
          <w:sz w:val="20"/>
          <w:szCs w:val="20"/>
        </w:rPr>
        <w:t>21</w:t>
      </w:r>
      <w:r w:rsidRPr="0059603A">
        <w:rPr>
          <w:rFonts w:ascii="Arial" w:eastAsia="Arial" w:hAnsi="Arial" w:cs="Arial"/>
          <w:sz w:val="20"/>
          <w:szCs w:val="20"/>
        </w:rPr>
        <w:t xml:space="preserve"> seperti berpikir kritis, literasi digital, dan meta skills masih kurang terwakili dalam instrumen yang tersedia, meskipun pentingnya mereka semakin diakui dalam kurikulum pendidikan kontemporer (Sarwanto et al., 2021; Jocham &amp; Pohlmann-Rother, 2025; Wolter &amp; Timler, 2014). Kebutuhan akan instrumen inklusif dan multidimensional untuk populasi beragam dan anak berkebutuhan khusus tetap menjadi prioritas yang belum terpenuhi secara memadai (Vlachou et al., 2025; Hvalby et al., 2024). Domain keterampilan hidup yang kurang terwakili termasuk metakognisi, metalinguistik, dan keterampilan hidup sehari-hari praktis yang penting untuk fungsi independen (Wolter &amp; Timler, 2014; Wallace, 1986; Hvalby et al., 2024).</w:t>
      </w:r>
    </w:p>
    <w:p w:rsidR="0059603A" w:rsidRDefault="0059603A" w:rsidP="0059603A">
      <w:pPr>
        <w:spacing w:after="0"/>
        <w:ind w:firstLine="720"/>
        <w:jc w:val="both"/>
        <w:rPr>
          <w:rFonts w:ascii="Arial" w:eastAsia="Arial" w:hAnsi="Arial" w:cs="Arial"/>
          <w:sz w:val="20"/>
          <w:szCs w:val="20"/>
        </w:rPr>
      </w:pPr>
      <w:r w:rsidRPr="0059603A">
        <w:rPr>
          <w:rFonts w:ascii="Arial" w:eastAsia="Arial" w:hAnsi="Arial" w:cs="Arial"/>
          <w:sz w:val="20"/>
          <w:szCs w:val="20"/>
        </w:rPr>
        <w:t>Format item inovatif menawarkan potensi untuk meningkatkan validitas dan keterlibatan siswa dalam asesmen. Format terbuka, multimodal, dan digital telah menunjukkan janji dalam mengukur kompetensi kompleks seperti berpikir kritis dan literasi digital dengan cara yang lebih autentik dan menarik (Sarwanto et al., 2021; Wan &amp; Henly, 2012; Oakley et al., 2020). Platform asesmen adaptif yang menyesuaikan tingkat kesulitan berdasarkan respons siswa dapat memberikan pengukuran yang lebih presisi sambil mengurangi beban kognitif dan meningkatkan motivasi (Zhidkikh et al., 2023). Penggunaan simulasi, permainan serius, dan lingkungan virtual menyediakan konteks asesmen yang kaya dan realistis yang menangkap kompetensi dalam situasi yang mendekati kehidupan nyata (Czaja et al., 2017; Cornacchia et al., 2025).</w:t>
      </w:r>
    </w:p>
    <w:p w:rsidR="0059603A" w:rsidRDefault="0059603A" w:rsidP="0059603A">
      <w:pPr>
        <w:spacing w:after="0"/>
        <w:ind w:firstLine="720"/>
        <w:jc w:val="both"/>
        <w:rPr>
          <w:rFonts w:ascii="Arial" w:eastAsia="Arial" w:hAnsi="Arial" w:cs="Arial"/>
          <w:sz w:val="20"/>
          <w:szCs w:val="20"/>
        </w:rPr>
      </w:pPr>
      <w:r w:rsidRPr="0059603A">
        <w:rPr>
          <w:rFonts w:ascii="Arial" w:eastAsia="Arial" w:hAnsi="Arial" w:cs="Arial"/>
          <w:sz w:val="20"/>
          <w:szCs w:val="20"/>
        </w:rPr>
        <w:t>Praktik terbaik untuk adaptasi budaya instrumen telah diidentifikasi melalui sintesis literatur dan mencakup proses komprehensif yang melibatkan pemangku kepentingan lokal, terjemahan sistematis dengan verifikasi kesetaraan konseptual, uji coba dengan populasi target untuk mengidentifikasi item yang bermasalah, dan validasi psikometrik yang ketat dalam konteks baru (Slomp et al., 2025; Kirova &amp; Hennig, 2013; Manohara et al., 2025). Pendekatan co-design partisipatif yang melibatkan anak-anak, guru, keluarga, dan anggota komunitas dalam pengembangan instrumen meningkatkan relevansi budaya, akseptabilitas, dan keberlanjutan (Zieschank et al., 2021; Ryan et al., 2025; Gilljam et al., 2020). Kerangka dekolonial yang menekankan epistemologi lokal dan martabat meningkatkan dampak dan ekuitas praktik asesmen, terutama dalam konteks yang secara historis terpinggirkan (Ghiano, 2025; Gomez Cardona et al., 2023).</w:t>
      </w:r>
    </w:p>
    <w:p w:rsidR="007C4BC4" w:rsidRDefault="0059603A" w:rsidP="0059603A">
      <w:pPr>
        <w:spacing w:after="0"/>
        <w:ind w:firstLine="720"/>
        <w:jc w:val="both"/>
        <w:rPr>
          <w:rFonts w:ascii="Arial" w:eastAsia="Arial" w:hAnsi="Arial" w:cs="Arial"/>
          <w:sz w:val="20"/>
          <w:szCs w:val="20"/>
        </w:rPr>
      </w:pPr>
      <w:r w:rsidRPr="0059603A">
        <w:rPr>
          <w:rFonts w:ascii="Arial" w:eastAsia="Arial" w:hAnsi="Arial" w:cs="Arial"/>
          <w:sz w:val="20"/>
          <w:szCs w:val="20"/>
        </w:rPr>
        <w:t>Integrasi teknologi dalam asesmen keterampilan hidup membuka peluang untuk pengukuran yang lebih responsif secara real-time, objektif, dan dapat diskalakan. Pembelajaran mendalam dan kecerdasan buatan memungkinkan pengenalan aktivitas kelas, analisis perhatian visual, dan pemantauan perilaku belajar yang memberikan umpan balik langsung kepada pendidik dan konselor (Deshpande &amp; Deshpande, 2023; Jiao &amp; Qi, 2025). Platform digital hibrida yang menggabungkan analitik dengan tugas berbasis skenario dapat menjembatani kompetensi individual dan kelompok, menawarkan umpan balik yang dipersonalisasi (Maki, 2023; Zhidkikh et al., 2023). Namun demikian, implementasi teknologi harus mempertimbangkan isu privasi data, aksesibilitas, ekuitas digital, dan kebutuhan akan validasi yang ketat sebelum adopsi luas (Cornacchia et al., 2025; Maki, 2023).</w:t>
      </w:r>
    </w:p>
    <w:p w:rsidR="00E65AFB" w:rsidRDefault="00E65AFB" w:rsidP="00E65AFB">
      <w:pPr>
        <w:spacing w:after="0"/>
        <w:jc w:val="both"/>
        <w:rPr>
          <w:rFonts w:ascii="Arial" w:eastAsia="Arial" w:hAnsi="Arial" w:cs="Arial"/>
          <w:sz w:val="20"/>
          <w:szCs w:val="20"/>
        </w:rPr>
      </w:pPr>
    </w:p>
    <w:p w:rsidR="00E65AFB" w:rsidRPr="00E65AFB" w:rsidRDefault="00E65AFB" w:rsidP="00E65AFB">
      <w:pPr>
        <w:spacing w:after="0"/>
        <w:jc w:val="both"/>
        <w:rPr>
          <w:rFonts w:ascii="Arial" w:eastAsia="Arial" w:hAnsi="Arial" w:cs="Arial"/>
          <w:b/>
          <w:bCs/>
          <w:sz w:val="20"/>
          <w:szCs w:val="20"/>
        </w:rPr>
      </w:pPr>
      <w:r w:rsidRPr="00E65AFB">
        <w:rPr>
          <w:rFonts w:ascii="Arial" w:eastAsia="Arial" w:hAnsi="Arial" w:cs="Arial"/>
          <w:b/>
          <w:bCs/>
          <w:sz w:val="20"/>
          <w:szCs w:val="20"/>
        </w:rPr>
        <w:t>Rekomendasi untuk Peneliti</w:t>
      </w:r>
    </w:p>
    <w:p w:rsidR="009260C1" w:rsidRPr="009260C1" w:rsidRDefault="009260C1" w:rsidP="009260C1">
      <w:pPr>
        <w:spacing w:after="0"/>
        <w:ind w:firstLine="720"/>
        <w:jc w:val="both"/>
        <w:rPr>
          <w:rFonts w:ascii="Arial" w:eastAsia="Arial" w:hAnsi="Arial" w:cs="Arial"/>
          <w:sz w:val="20"/>
          <w:szCs w:val="20"/>
        </w:rPr>
      </w:pPr>
      <w:r w:rsidRPr="009260C1">
        <w:rPr>
          <w:rFonts w:ascii="Arial" w:eastAsia="Arial" w:hAnsi="Arial" w:cs="Arial"/>
          <w:sz w:val="20"/>
          <w:szCs w:val="20"/>
        </w:rPr>
        <w:t xml:space="preserve">Berdasarkan sintesis literatur yang komprehensif, beberapa rekomendasi kunci dapat dirumuskan untuk memandu penelitian masa depan dalam pengembangan dan validasi instrumen asesmen keterampilan hidup. Prinsip pengembangan instrumen harus </w:t>
      </w:r>
      <w:r w:rsidRPr="009260C1">
        <w:rPr>
          <w:rFonts w:ascii="Arial" w:eastAsia="Arial" w:hAnsi="Arial" w:cs="Arial"/>
          <w:sz w:val="20"/>
          <w:szCs w:val="20"/>
        </w:rPr>
        <w:lastRenderedPageBreak/>
        <w:t>mencakup observasi situasi nyata, pendekatan multidimensional, validitas dan reliabilitas tinggi, serta inklusivitas untuk memastikan relevansi dan kegunaan instrumen di berbagai konteks (Davydova &amp; Sorokin, 2019; Ghombavani et al., 2012; Hafina et al., 2024). Peneliti harus memprioritaskan pengembangan instrumen yang menangkap kompleksitas keterampilan hidup melalui integrasi domain kognitif, afektif, dan perilaku dalam kerangka penilaian yang koheren (Gomes, 2025; Hvalby et al., 2024).</w:t>
      </w:r>
    </w:p>
    <w:p w:rsidR="009260C1" w:rsidRPr="009260C1" w:rsidRDefault="009260C1" w:rsidP="009260C1">
      <w:pPr>
        <w:spacing w:after="0"/>
        <w:ind w:firstLine="720"/>
        <w:jc w:val="both"/>
        <w:rPr>
          <w:rFonts w:ascii="Arial" w:eastAsia="Arial" w:hAnsi="Arial" w:cs="Arial"/>
          <w:sz w:val="20"/>
          <w:szCs w:val="20"/>
        </w:rPr>
      </w:pPr>
      <w:r w:rsidRPr="009260C1">
        <w:rPr>
          <w:rFonts w:ascii="Arial" w:eastAsia="Arial" w:hAnsi="Arial" w:cs="Arial"/>
          <w:sz w:val="20"/>
          <w:szCs w:val="20"/>
        </w:rPr>
        <w:t>Praktik terbaik untuk instrumen self-report yang sesuai perkembangan mencakup co-design dengan anak-anak untuk memastikan item dipahami dan relevan dari perspektif mereka, penggunaan item konkret dengan contoh situasional yang familiar, integrasi dukungan audio-visual untuk meningkatkan aksesibilitas bagi siswa dengan kemampuan membaca terbatas, dan pelatihan penggunaan untuk memastikan siswa memahami skala respons dan dapat melaporkan secara akurat (Davydova &amp; Sorokin, 2019; Zieschank et al., 2021; Cremeens et al., 2007). Pendekatan co-design partisipatif dengan anak memerlukan keterlibatan aktif anak dalam desain instrumen, penyesuaian konten berdasarkan umpan balik mereka, dan format yang ramah anak yang membuat proses asesmen menjadi menarik daripada mengancam (Zieschank et al., 2021; Ryan et al., 2025; Gilljam et al., 2020).</w:t>
      </w:r>
    </w:p>
    <w:p w:rsidR="009260C1" w:rsidRPr="009260C1" w:rsidRDefault="009260C1" w:rsidP="009260C1">
      <w:pPr>
        <w:spacing w:after="0"/>
        <w:ind w:firstLine="720"/>
        <w:jc w:val="both"/>
        <w:rPr>
          <w:rFonts w:ascii="Arial" w:eastAsia="Arial" w:hAnsi="Arial" w:cs="Arial"/>
          <w:sz w:val="20"/>
          <w:szCs w:val="20"/>
        </w:rPr>
      </w:pPr>
      <w:r w:rsidRPr="009260C1">
        <w:rPr>
          <w:rFonts w:ascii="Arial" w:eastAsia="Arial" w:hAnsi="Arial" w:cs="Arial"/>
          <w:sz w:val="20"/>
          <w:szCs w:val="20"/>
        </w:rPr>
        <w:t>Tahapan validasi ahli dan uji coba instrumen harus mengikuti prosedur yang ketat mencakup validasi konten oleh panel ahli untuk memastikan item mewakili domain yang dimaksudkan, uji coba skala kecil untuk mengidentifikasi masalah administrasi dan pemahaman item, analisis faktor untuk memverifikasi struktur dimensi yang dihipotesiskan, dan pengujian reliabilitas untuk memastikan konsistensi internal dan stabilitas temporal (Mossman et al., 2021; Vahdani et al., 2024; Ji et al., 2022). Untuk rentang usia lima hingga sembilan tahun, langkah evaluasi psikometrik khusus diperlukan termasuk analisis faktor yang mempertimbangkan kapasitas kognitif yang berkembang, pengujian reliabilitas dengan interval waktu yang sesuai untuk usia, validasi konten yang memastikan item sesuai perkembangan, invariansi pengukuran di seluruh kelompok usia dan gender, serta uji test-retest dengan interval yang tepat untuk populasi muda (Maddah et al., 2023; Balsak et al., 2025; Fuentes et al., 2025).</w:t>
      </w:r>
    </w:p>
    <w:p w:rsidR="009260C1" w:rsidRPr="009260C1" w:rsidRDefault="009260C1" w:rsidP="009260C1">
      <w:pPr>
        <w:spacing w:after="0"/>
        <w:ind w:firstLine="720"/>
        <w:jc w:val="both"/>
        <w:rPr>
          <w:rFonts w:ascii="Arial" w:eastAsia="Arial" w:hAnsi="Arial" w:cs="Arial"/>
          <w:sz w:val="20"/>
          <w:szCs w:val="20"/>
        </w:rPr>
      </w:pPr>
      <w:r w:rsidRPr="009260C1">
        <w:rPr>
          <w:rFonts w:ascii="Arial" w:eastAsia="Arial" w:hAnsi="Arial" w:cs="Arial"/>
          <w:sz w:val="20"/>
          <w:szCs w:val="20"/>
        </w:rPr>
        <w:t>Metodologi co-design dengan anak memerlukan pendekatan yang mempertimbangkan keseimbangan kekuasaan dan memastikan suara anak didengar secara autentik dalam proses pengembangan (Zieschank et al., 2021; Ryan et al., 2025). Partisipasi anak dalam desain tidak hanya meningkatkan kualitas instrumen tetapi juga memberdayakan mereka sebagai agen aktif dalam proses asesmen yang mempengaruhi mereka (Gilljam et al., 2020; Ryan et al., 2025). Penyesuaian konten dan format berdasarkan masukan anak memastikan bahwa instrumen benar-benar mengukur apa yang penting dari perspektif mereka, bukan hanya apa yang dianggap penting oleh orang dewasa (Zieschank et al., 2021; Cremeens et al., 2007).</w:t>
      </w:r>
    </w:p>
    <w:p w:rsidR="009260C1" w:rsidRPr="009260C1" w:rsidRDefault="009260C1" w:rsidP="009260C1">
      <w:pPr>
        <w:spacing w:after="0"/>
        <w:ind w:firstLine="720"/>
        <w:jc w:val="both"/>
        <w:rPr>
          <w:rFonts w:ascii="Arial" w:eastAsia="Arial" w:hAnsi="Arial" w:cs="Arial"/>
          <w:sz w:val="20"/>
          <w:szCs w:val="20"/>
        </w:rPr>
      </w:pPr>
      <w:r w:rsidRPr="009260C1">
        <w:rPr>
          <w:rFonts w:ascii="Arial" w:eastAsia="Arial" w:hAnsi="Arial" w:cs="Arial"/>
          <w:sz w:val="20"/>
          <w:szCs w:val="20"/>
        </w:rPr>
        <w:t>Penelitian masa depan harus memprioritaskan pengembangan dan validasi instrumen untuk meta skills dan literasi digital yang semakin penting dalam pendidikan kontemporer namun kurang terwakili dalam instrumen yang ada (Sarwanto et al., 2021; Jocham &amp; Pohlmann-Rother, 2025; Pan et al., 2025). Studi longitudinal diperlukan untuk melacak perkembangan keterampilan hidup dari waktu ke waktu, memahami trajektori pertumbuhan, dan memvalidasi responsivitas instrumen terhadap perubahan perkembangan dan intervensi (Ross et al., 2019; Huebner et al., 2000). Implementasi metodologi co-design dengan anak dalam pengembangan instrumen harus menjadi standar praktik daripada pengecualian, memastikan asesmen yang lebih valid dan bermakna (Zieschank et al., 2021; Ryan et al., 2025; Gilljam et al., 2020).</w:t>
      </w:r>
    </w:p>
    <w:p w:rsidR="00E65AFB" w:rsidRDefault="009260C1" w:rsidP="009260C1">
      <w:pPr>
        <w:spacing w:after="0"/>
        <w:ind w:firstLine="720"/>
        <w:jc w:val="both"/>
        <w:rPr>
          <w:rFonts w:ascii="Arial" w:eastAsia="Arial" w:hAnsi="Arial" w:cs="Arial"/>
          <w:sz w:val="20"/>
          <w:szCs w:val="20"/>
        </w:rPr>
      </w:pPr>
      <w:r w:rsidRPr="009260C1">
        <w:rPr>
          <w:rFonts w:ascii="Arial" w:eastAsia="Arial" w:hAnsi="Arial" w:cs="Arial"/>
          <w:sz w:val="20"/>
          <w:szCs w:val="20"/>
        </w:rPr>
        <w:lastRenderedPageBreak/>
        <w:t>Validasi lintas budaya dan adaptasi sistematis di berbagai negara, terutama di wilayah yang kurang terwakili seperti Afrika Sub-Sahara, Asia Selatan, dan Amerika Latin, merupakan prioritas penelitian kritis (Akongo et al., 2025; van Zyl et al., 2023; Kusi-Mensah et al., 2022). Kolaborasi multidisiplin dan lintas negara dapat memfasilitasi pengembangan instrumen yang lebih universal namun tetap sensitif secara budaya, menghindari bias Barat yang telah mendominasi literatur (Stowell et al., 2025; Alavi et al., 2026). Peneliti harus mengadopsi kerangka kerja yang mengintegrasikan teori kebutuhan dasar, pengembangan positif remaja, dan perspektif konstruksi sosial untuk memahami keterampilan hidup sebagai kompetensi yang dinamis dan kontekstual daripada sifat tetap (Hodge et al., 2013; Hodge et al., 2016; Ortiz-Rodríguez et al., 2024).</w:t>
      </w:r>
    </w:p>
    <w:p w:rsidR="009260C1" w:rsidRDefault="009260C1" w:rsidP="009260C1">
      <w:pPr>
        <w:spacing w:after="0"/>
        <w:jc w:val="both"/>
        <w:rPr>
          <w:rFonts w:ascii="Arial" w:eastAsia="Arial" w:hAnsi="Arial" w:cs="Arial"/>
          <w:sz w:val="20"/>
          <w:szCs w:val="20"/>
        </w:rPr>
      </w:pPr>
    </w:p>
    <w:p w:rsidR="00E65AFB" w:rsidRPr="00E65AFB" w:rsidRDefault="00E65AFB" w:rsidP="00E65AFB">
      <w:pPr>
        <w:spacing w:after="0"/>
        <w:jc w:val="both"/>
        <w:rPr>
          <w:rFonts w:ascii="Arial" w:eastAsia="Arial" w:hAnsi="Arial" w:cs="Arial"/>
          <w:b/>
          <w:bCs/>
          <w:sz w:val="20"/>
          <w:szCs w:val="20"/>
        </w:rPr>
      </w:pPr>
      <w:r w:rsidRPr="00E65AFB">
        <w:rPr>
          <w:rFonts w:ascii="Arial" w:eastAsia="Arial" w:hAnsi="Arial" w:cs="Arial"/>
          <w:b/>
          <w:bCs/>
          <w:sz w:val="20"/>
          <w:szCs w:val="20"/>
        </w:rPr>
        <w:t>KESIMPULAN</w:t>
      </w:r>
    </w:p>
    <w:p w:rsidR="00E65AFB" w:rsidRPr="00E65AFB" w:rsidRDefault="00E65AFB" w:rsidP="00E65AFB">
      <w:pPr>
        <w:spacing w:after="0"/>
        <w:ind w:firstLine="720"/>
        <w:jc w:val="both"/>
        <w:rPr>
          <w:rFonts w:ascii="Arial" w:eastAsia="Arial" w:hAnsi="Arial" w:cs="Arial"/>
          <w:sz w:val="20"/>
          <w:szCs w:val="20"/>
        </w:rPr>
      </w:pPr>
      <w:r w:rsidRPr="00E65AFB">
        <w:rPr>
          <w:rFonts w:ascii="Arial" w:eastAsia="Arial" w:hAnsi="Arial" w:cs="Arial"/>
          <w:sz w:val="20"/>
          <w:szCs w:val="20"/>
        </w:rPr>
        <w:t>Tinjauan sistematis terhadap literatur periode 2010 hingga 202</w:t>
      </w:r>
      <w:r w:rsidR="001D3B9E">
        <w:rPr>
          <w:rFonts w:ascii="Arial" w:eastAsia="Arial" w:hAnsi="Arial" w:cs="Arial"/>
          <w:sz w:val="20"/>
          <w:szCs w:val="20"/>
        </w:rPr>
        <w:t>5</w:t>
      </w:r>
      <w:r w:rsidRPr="00E65AFB">
        <w:rPr>
          <w:rFonts w:ascii="Arial" w:eastAsia="Arial" w:hAnsi="Arial" w:cs="Arial"/>
          <w:sz w:val="20"/>
          <w:szCs w:val="20"/>
        </w:rPr>
        <w:t xml:space="preserve"> mengungkapkan bahwa instrumen asesmen keterampilan hidup untuk siswa sekolah dasar telah berkembang menuju pendekatan yang lebih komprehensif, multidimensional, dan sensitif secara budaya. Domain utama yang konsisten dinilai mencakup komunikasi efektif, pemecahan masalah, regulasi emosi, keterampilan sosial, dan kesadaran diri, dengan domain yang muncul seperti literasi digital dan kesiapan karier yang semakin mendapat perhatian. Beragam jenis instrumen tersedia mulai dari kuesioner self-report, skala observasi, asesmen berbasis kinerja, hingga instrumen naratif dan digital, masing-masing dengan keunggulan dan keterbatasan yang spesifik. Karakteristik psikometrik instrumen yang tervalidasi umumnya menunjukkan reliabilitas dan validitas yang baik, meskipun tantangan tetap ada dalam adaptasi lintas budaya, responsivitas terhadap perubahan, dan pengukuran domain afektif dan perilaku.</w:t>
      </w:r>
    </w:p>
    <w:p w:rsidR="009260C1" w:rsidRPr="009260C1" w:rsidRDefault="00E65AFB" w:rsidP="009260C1">
      <w:pPr>
        <w:spacing w:after="0"/>
        <w:ind w:firstLine="720"/>
        <w:jc w:val="both"/>
        <w:rPr>
          <w:rFonts w:ascii="Arial" w:eastAsia="Arial" w:hAnsi="Arial" w:cs="Arial"/>
          <w:sz w:val="20"/>
          <w:szCs w:val="20"/>
        </w:rPr>
      </w:pPr>
      <w:r w:rsidRPr="00E65AFB">
        <w:rPr>
          <w:rFonts w:ascii="Arial" w:eastAsia="Arial" w:hAnsi="Arial" w:cs="Arial"/>
          <w:sz w:val="20"/>
          <w:szCs w:val="20"/>
        </w:rPr>
        <w:t xml:space="preserve">Implikasi untuk praktik bimbingan dan konseling sangat substansial, dengan asesmen yang efektif memungkinkan identifikasi kebutuhan yang lebih presisi, desain intervensi yang ditargetkan, evaluasi program yang berbasis bukti, dan kolaborasi yang lebih efektif dengan guru dan keluarga. Peluang signifikan ada untuk pengembangan instrumen yang mengintegrasikan keterampilan abad </w:t>
      </w:r>
      <w:r w:rsidR="009260C1">
        <w:rPr>
          <w:rFonts w:ascii="Arial" w:eastAsia="Arial" w:hAnsi="Arial" w:cs="Arial"/>
          <w:sz w:val="20"/>
          <w:szCs w:val="20"/>
        </w:rPr>
        <w:t>21</w:t>
      </w:r>
      <w:r w:rsidRPr="00E65AFB">
        <w:rPr>
          <w:rFonts w:ascii="Arial" w:eastAsia="Arial" w:hAnsi="Arial" w:cs="Arial"/>
          <w:sz w:val="20"/>
          <w:szCs w:val="20"/>
        </w:rPr>
        <w:t>, menggunakan format inovatif berbasis teknologi, dan mengadopsi pendekatan co-design partisipatif dengan anak dan komunitas. Rekomendasi untuk peneliti menekankan pentingnya validasi psikometrik yang ketat, adaptasi budaya yang sistematis, integrasi metode kuantitatif dan kualitatif, serta pengembangan instrumen yang inklusif dan sesuai perkembangan. Arah masa depan harus fokus pada pengembangan instrumen yang tidak hanya psikometris kokoh tetapi juga relevan secara kontekstual, dapat diakses oleh populasi beragam, dan responsif terhadap kebutuhan praktis profesional bimbingan dan konseling dalam mendukung perkembangan holistik siswa sekolah dasar.</w:t>
      </w:r>
      <w:r w:rsidR="009260C1">
        <w:rPr>
          <w:rFonts w:ascii="Arial" w:eastAsia="Arial" w:hAnsi="Arial" w:cs="Arial"/>
          <w:sz w:val="20"/>
          <w:szCs w:val="20"/>
        </w:rPr>
        <w:t xml:space="preserve"> </w:t>
      </w:r>
      <w:r w:rsidR="009260C1" w:rsidRPr="009260C1">
        <w:rPr>
          <w:rFonts w:ascii="Arial" w:eastAsia="Arial" w:hAnsi="Arial" w:cs="Arial"/>
          <w:sz w:val="20"/>
          <w:szCs w:val="20"/>
        </w:rPr>
        <w:t>Kolaborasi dengan guru, keluarga, dan komunitas memperkuat dampak asesmen dengan memastikan data diterjemahkan menjadi tindakan yang relevan secara kontekstual. Pengembangan kapasitas profesional dalam literasi asesmen dan komunikasi yang responsif budaya merupakan prasyarat untuk implementasi efektif.</w:t>
      </w:r>
    </w:p>
    <w:p w:rsidR="009260C1" w:rsidRDefault="009260C1" w:rsidP="009260C1">
      <w:pPr>
        <w:spacing w:after="0"/>
        <w:ind w:firstLine="720"/>
        <w:jc w:val="both"/>
        <w:rPr>
          <w:rFonts w:ascii="Arial" w:eastAsia="Arial" w:hAnsi="Arial" w:cs="Arial"/>
          <w:sz w:val="20"/>
          <w:szCs w:val="20"/>
        </w:rPr>
      </w:pPr>
      <w:r w:rsidRPr="009260C1">
        <w:rPr>
          <w:rFonts w:ascii="Arial" w:eastAsia="Arial" w:hAnsi="Arial" w:cs="Arial"/>
          <w:sz w:val="20"/>
          <w:szCs w:val="20"/>
        </w:rPr>
        <w:t xml:space="preserve">Arah masa depan untuk penelitian dan praktik harus mencakup pengembangan instrumen hibrida yang mengintegrasikan psikometrik tradisional dengan teknologi adaptif untuk pengukuran real-time dan personalisasi. Ekspansi komponen kualitatif dalam skala kuantitatif dapat menangkap domain afektif dan perilaku dengan lebih baik. Prioritas harus diberikan pada studi responsivitas jangka panjang, terutama di populasi yang kurang terwakili dan konteks sumber daya terbatas. Kemajuan proses adaptasi dan validasi yang partisipatif dan sensitif konteks akan memastikan relevansi budaya dan inklusivitas. </w:t>
      </w:r>
      <w:r w:rsidRPr="009260C1">
        <w:rPr>
          <w:rFonts w:ascii="Arial" w:eastAsia="Arial" w:hAnsi="Arial" w:cs="Arial"/>
          <w:sz w:val="20"/>
          <w:szCs w:val="20"/>
        </w:rPr>
        <w:lastRenderedPageBreak/>
        <w:t>Kolaborasi antara peneliti, praktisi, pembuat kebijakan, dan komunitas akan menjadi kunci untuk mengembangkan dan mengimplementasikan instrumen asesmen keterampilan hidup generasi berikutnya yang benar-benar melayani kebutuhan beragam siswa sekolah dasar di seluruh dunia.</w:t>
      </w:r>
    </w:p>
    <w:p w:rsidR="007C4BC4" w:rsidRDefault="007C4BC4">
      <w:pPr>
        <w:spacing w:after="0"/>
        <w:jc w:val="both"/>
        <w:rPr>
          <w:rFonts w:ascii="Arial" w:eastAsia="Arial" w:hAnsi="Arial" w:cs="Arial"/>
          <w:color w:val="000000"/>
          <w:sz w:val="20"/>
          <w:szCs w:val="20"/>
        </w:rPr>
      </w:pPr>
    </w:p>
    <w:p w:rsidR="007C4BC4" w:rsidRDefault="007C4BC4">
      <w:pPr>
        <w:spacing w:after="0"/>
        <w:jc w:val="both"/>
        <w:rPr>
          <w:rFonts w:ascii="Arial" w:eastAsia="Arial" w:hAnsi="Arial" w:cs="Arial"/>
          <w:color w:val="000000"/>
          <w:sz w:val="20"/>
          <w:szCs w:val="20"/>
        </w:rPr>
      </w:pPr>
    </w:p>
    <w:p w:rsidR="007C4BC4" w:rsidRDefault="001C42CE">
      <w:pPr>
        <w:spacing w:after="0"/>
        <w:jc w:val="both"/>
        <w:rPr>
          <w:rFonts w:ascii="Arial" w:eastAsia="Arial" w:hAnsi="Arial" w:cs="Arial"/>
          <w:b/>
          <w:sz w:val="20"/>
          <w:szCs w:val="20"/>
        </w:rPr>
      </w:pPr>
      <w:r>
        <w:rPr>
          <w:rFonts w:ascii="Arial" w:eastAsia="Arial" w:hAnsi="Arial" w:cs="Arial"/>
          <w:b/>
          <w:sz w:val="20"/>
          <w:szCs w:val="20"/>
        </w:rPr>
        <w:t>REFERENSI</w:t>
      </w:r>
    </w:p>
    <w:p w:rsidR="00537A84" w:rsidRPr="00B261D5" w:rsidRDefault="00537A84" w:rsidP="00B261D5">
      <w:pPr>
        <w:spacing w:after="0"/>
        <w:ind w:left="567" w:hanging="567"/>
        <w:jc w:val="both"/>
        <w:rPr>
          <w:rFonts w:ascii="Arial" w:eastAsia="Arial" w:hAnsi="Arial" w:cs="Arial"/>
          <w:color w:val="000000"/>
          <w:sz w:val="20"/>
          <w:szCs w:val="20"/>
        </w:rPr>
      </w:pPr>
      <w:r w:rsidRPr="00B261D5">
        <w:rPr>
          <w:rFonts w:ascii="Arial" w:eastAsia="Arial" w:hAnsi="Arial" w:cs="Arial"/>
          <w:color w:val="000000"/>
          <w:sz w:val="20"/>
          <w:szCs w:val="20"/>
        </w:rPr>
        <w:t xml:space="preserve">Abhilashi, M., Johri, S., Lall, G., Mason, E., Bell, L., Chopra, G., Sood, N., Pandey, S., Divan, G., &amp; Leadbitter, K. (2025). Cross-Cultural Adaptation of Measures of Childhood Functioning for Low- and Middle-Income Countries: A Process Description in a Northern Indian Context. Focus on Autism and Other Developmental Disabilities. </w:t>
      </w:r>
    </w:p>
    <w:p w:rsidR="00537A84" w:rsidRPr="00B261D5" w:rsidRDefault="00537A84" w:rsidP="00B261D5">
      <w:pPr>
        <w:spacing w:after="0"/>
        <w:ind w:left="567" w:hanging="567"/>
        <w:jc w:val="both"/>
        <w:rPr>
          <w:rFonts w:ascii="Arial" w:eastAsia="Arial" w:hAnsi="Arial" w:cs="Arial"/>
          <w:color w:val="000000"/>
          <w:sz w:val="20"/>
          <w:szCs w:val="20"/>
        </w:rPr>
      </w:pPr>
      <w:r w:rsidRPr="00B261D5">
        <w:rPr>
          <w:rFonts w:ascii="Arial" w:eastAsia="Arial" w:hAnsi="Arial" w:cs="Arial"/>
          <w:color w:val="000000"/>
          <w:sz w:val="20"/>
          <w:szCs w:val="20"/>
        </w:rPr>
        <w:t xml:space="preserve">Abubakar, A., van de Vijver, F., Alonso-Arbiol, I., Suryani, A. O., Pandia, W. S., Handayani, P., Mazrui, L., Murugami, M., Katana, E., &amp; Tair, E. (2016). Measurement Invariance of the Brief Multidimensional Student's Life Satisfaction Scale Among Adolescents and Emerging Adults Across 23 Cultural Contexts. Journal of Psychoeducational Assessment, 34(1), 28-38. </w:t>
      </w:r>
    </w:p>
    <w:p w:rsidR="00537A84" w:rsidRPr="00B261D5" w:rsidRDefault="00537A84" w:rsidP="00B261D5">
      <w:pPr>
        <w:spacing w:after="0"/>
        <w:ind w:left="567" w:hanging="567"/>
        <w:jc w:val="both"/>
        <w:rPr>
          <w:rFonts w:ascii="Arial" w:eastAsia="Arial" w:hAnsi="Arial" w:cs="Arial"/>
          <w:color w:val="000000"/>
          <w:sz w:val="20"/>
          <w:szCs w:val="20"/>
        </w:rPr>
      </w:pPr>
      <w:r w:rsidRPr="00B261D5">
        <w:rPr>
          <w:rFonts w:ascii="Arial" w:eastAsia="Arial" w:hAnsi="Arial" w:cs="Arial"/>
          <w:color w:val="000000"/>
          <w:sz w:val="20"/>
          <w:szCs w:val="20"/>
        </w:rPr>
        <w:t xml:space="preserve">Akongo, S. R., Ariapa, M., &amp; Giacomazzi, M. (2025). What works in 21st century skills education in sub-Saharan Africa: A systematic review. Frontiers in Psychology, 15. </w:t>
      </w:r>
    </w:p>
    <w:p w:rsidR="00537A84" w:rsidRPr="00B261D5" w:rsidRDefault="00537A84" w:rsidP="00B261D5">
      <w:pPr>
        <w:spacing w:after="0"/>
        <w:ind w:left="567" w:hanging="567"/>
        <w:jc w:val="both"/>
        <w:rPr>
          <w:rFonts w:ascii="Arial" w:eastAsia="Arial" w:hAnsi="Arial" w:cs="Arial"/>
          <w:color w:val="000000"/>
          <w:sz w:val="20"/>
          <w:szCs w:val="20"/>
        </w:rPr>
      </w:pPr>
      <w:r w:rsidRPr="00B261D5">
        <w:rPr>
          <w:rFonts w:ascii="Arial" w:eastAsia="Arial" w:hAnsi="Arial" w:cs="Arial"/>
          <w:color w:val="000000"/>
          <w:sz w:val="20"/>
          <w:szCs w:val="20"/>
        </w:rPr>
        <w:t xml:space="preserve">Alavi, M., Le Lagadec, D., &amp; Cleary, M. (2026). Challenges of Cross-Cultural Validation of Clinical Assessment Measures: A Practical Introduction. Journal of Advanced Nursing. </w:t>
      </w:r>
    </w:p>
    <w:p w:rsidR="00537A84" w:rsidRPr="00B261D5" w:rsidRDefault="00537A84" w:rsidP="00B261D5">
      <w:pPr>
        <w:spacing w:after="0"/>
        <w:ind w:left="567" w:hanging="567"/>
        <w:jc w:val="both"/>
        <w:rPr>
          <w:rFonts w:ascii="Arial" w:eastAsia="Arial" w:hAnsi="Arial" w:cs="Arial"/>
          <w:color w:val="000000"/>
          <w:sz w:val="20"/>
          <w:szCs w:val="20"/>
        </w:rPr>
      </w:pPr>
      <w:r w:rsidRPr="00B261D5">
        <w:rPr>
          <w:rFonts w:ascii="Arial" w:eastAsia="Arial" w:hAnsi="Arial" w:cs="Arial"/>
          <w:color w:val="000000"/>
          <w:sz w:val="20"/>
          <w:szCs w:val="20"/>
        </w:rPr>
        <w:t xml:space="preserve">Alghazo, A. (2024). An Analysis of Life Skills in the Content of English Language Text Books. Journal of Language Teaching and Research, 15(2), 514-523. </w:t>
      </w:r>
    </w:p>
    <w:p w:rsidR="00537A84" w:rsidRPr="00B261D5" w:rsidRDefault="00537A84" w:rsidP="00B261D5">
      <w:pPr>
        <w:spacing w:after="0"/>
        <w:ind w:left="567" w:hanging="567"/>
        <w:jc w:val="both"/>
        <w:rPr>
          <w:rFonts w:ascii="Arial" w:eastAsia="Arial" w:hAnsi="Arial" w:cs="Arial"/>
          <w:color w:val="000000"/>
          <w:sz w:val="20"/>
          <w:szCs w:val="20"/>
        </w:rPr>
      </w:pPr>
      <w:r w:rsidRPr="00B261D5">
        <w:rPr>
          <w:rFonts w:ascii="Arial" w:eastAsia="Arial" w:hAnsi="Arial" w:cs="Arial"/>
          <w:color w:val="000000"/>
          <w:sz w:val="20"/>
          <w:szCs w:val="20"/>
        </w:rPr>
        <w:t xml:space="preserve">Al-Hendawi, M., Hussein, E., &amp; Darwish, S. (2025). Direct observation systems for child behavior assessment in early childhood education: A systematic literature review. Discover Mental Health, 5(1). </w:t>
      </w:r>
    </w:p>
    <w:p w:rsidR="00537A84" w:rsidRPr="00B261D5" w:rsidRDefault="00537A84" w:rsidP="00B261D5">
      <w:pPr>
        <w:spacing w:after="0"/>
        <w:ind w:left="567" w:hanging="567"/>
        <w:jc w:val="both"/>
        <w:rPr>
          <w:rFonts w:ascii="Arial" w:eastAsia="Arial" w:hAnsi="Arial" w:cs="Arial"/>
          <w:color w:val="000000"/>
          <w:sz w:val="20"/>
          <w:szCs w:val="20"/>
        </w:rPr>
      </w:pPr>
      <w:r w:rsidRPr="00B261D5">
        <w:rPr>
          <w:rFonts w:ascii="Arial" w:eastAsia="Arial" w:hAnsi="Arial" w:cs="Arial"/>
          <w:color w:val="000000"/>
          <w:sz w:val="20"/>
          <w:szCs w:val="20"/>
        </w:rPr>
        <w:t xml:space="preserve">Amatea, E. S., Mixon, K., &amp; McCarthy, S. (2013). Preparing Future Teachers to Collaborate With Families: Contributions of Family Systems Counselors to a Teacher Preparation Program. The Family Journal, 21(1), 99-106. </w:t>
      </w:r>
    </w:p>
    <w:p w:rsidR="00537A84" w:rsidRPr="00B261D5" w:rsidRDefault="00537A84" w:rsidP="00B261D5">
      <w:pPr>
        <w:spacing w:after="0"/>
        <w:ind w:left="567" w:hanging="567"/>
        <w:jc w:val="both"/>
        <w:rPr>
          <w:rFonts w:ascii="Arial" w:eastAsia="Arial" w:hAnsi="Arial" w:cs="Arial"/>
          <w:color w:val="000000"/>
          <w:sz w:val="20"/>
          <w:szCs w:val="20"/>
        </w:rPr>
      </w:pPr>
      <w:r w:rsidRPr="00B261D5">
        <w:rPr>
          <w:rFonts w:ascii="Arial" w:eastAsia="Arial" w:hAnsi="Arial" w:cs="Arial"/>
          <w:color w:val="000000"/>
          <w:sz w:val="20"/>
          <w:szCs w:val="20"/>
        </w:rPr>
        <w:t xml:space="preserve">Arnesen, A., Smolkowski, K., Ogden, T., &amp; Melby-Lervåg, M. (2018). Validation of the elementary social behaviour assessment: Teacher ratings of students' social skills adapted to Norwegian, grades 1–6. Emotional and Behavioural Difficulties, 23(1), 76-89. </w:t>
      </w:r>
    </w:p>
    <w:p w:rsidR="00537A84" w:rsidRPr="00B261D5" w:rsidRDefault="00537A84" w:rsidP="00B261D5">
      <w:pPr>
        <w:spacing w:after="0"/>
        <w:ind w:left="567" w:hanging="567"/>
        <w:jc w:val="both"/>
        <w:rPr>
          <w:rFonts w:ascii="Arial" w:eastAsia="Arial" w:hAnsi="Arial" w:cs="Arial"/>
          <w:color w:val="000000"/>
          <w:sz w:val="20"/>
          <w:szCs w:val="20"/>
        </w:rPr>
      </w:pPr>
      <w:r w:rsidRPr="00B261D5">
        <w:rPr>
          <w:rFonts w:ascii="Arial" w:eastAsia="Arial" w:hAnsi="Arial" w:cs="Arial"/>
          <w:color w:val="000000"/>
          <w:sz w:val="20"/>
          <w:szCs w:val="20"/>
        </w:rPr>
        <w:t xml:space="preserve">Balsak, H., Köseoğlu, E., &amp; Güney, M. (2025). Evaluation of healthy life skills of 8-10-year-old children: A scale development study. Journal of Pediatric Nursing, 76, 27-36. </w:t>
      </w:r>
    </w:p>
    <w:p w:rsidR="00537A84" w:rsidRPr="00B261D5" w:rsidRDefault="00537A84" w:rsidP="00B261D5">
      <w:pPr>
        <w:spacing w:after="0"/>
        <w:ind w:left="567" w:hanging="567"/>
        <w:jc w:val="both"/>
        <w:rPr>
          <w:rFonts w:ascii="Arial" w:eastAsia="Arial" w:hAnsi="Arial" w:cs="Arial"/>
          <w:color w:val="000000"/>
          <w:sz w:val="20"/>
          <w:szCs w:val="20"/>
        </w:rPr>
      </w:pPr>
      <w:r w:rsidRPr="00B261D5">
        <w:rPr>
          <w:rFonts w:ascii="Arial" w:eastAsia="Arial" w:hAnsi="Arial" w:cs="Arial"/>
          <w:color w:val="000000"/>
          <w:sz w:val="20"/>
          <w:szCs w:val="20"/>
        </w:rPr>
        <w:t>Beitchman, J. H., &amp; Corradini, A. (1988). Self-report measures for use with children: A review and comment. Journal of Clinical Psychology, 44(4), 477-490.</w:t>
      </w:r>
    </w:p>
    <w:p w:rsidR="00537A84" w:rsidRPr="00B261D5" w:rsidRDefault="00537A84" w:rsidP="00B261D5">
      <w:pPr>
        <w:spacing w:after="0"/>
        <w:ind w:left="567" w:hanging="567"/>
        <w:jc w:val="both"/>
        <w:rPr>
          <w:rFonts w:ascii="Arial" w:eastAsia="Arial" w:hAnsi="Arial" w:cs="Arial"/>
          <w:color w:val="000000"/>
          <w:sz w:val="20"/>
          <w:szCs w:val="20"/>
        </w:rPr>
      </w:pPr>
      <w:r w:rsidRPr="00B261D5">
        <w:rPr>
          <w:rFonts w:ascii="Arial" w:eastAsia="Arial" w:hAnsi="Arial" w:cs="Arial"/>
          <w:color w:val="000000"/>
          <w:sz w:val="20"/>
          <w:szCs w:val="20"/>
        </w:rPr>
        <w:t xml:space="preserve">Brigman, G., Wells, C., Webb, L., Villares, E., Carey, J. C., &amp; Harrington, K. (2015). Psychometric properties and confirmatory factor analysis of the student engagement in school success skills. Measurement and Evaluation in Counseling and Development, 48(1), 3-14. </w:t>
      </w:r>
    </w:p>
    <w:p w:rsidR="00537A84" w:rsidRPr="00B261D5" w:rsidRDefault="00537A84" w:rsidP="00B261D5">
      <w:pPr>
        <w:spacing w:after="0"/>
        <w:ind w:left="567" w:hanging="567"/>
        <w:jc w:val="both"/>
        <w:rPr>
          <w:rFonts w:ascii="Arial" w:eastAsia="Arial" w:hAnsi="Arial" w:cs="Arial"/>
          <w:color w:val="000000"/>
          <w:sz w:val="20"/>
          <w:szCs w:val="20"/>
        </w:rPr>
      </w:pPr>
      <w:r w:rsidRPr="00B261D5">
        <w:rPr>
          <w:rFonts w:ascii="Arial" w:eastAsia="Arial" w:hAnsi="Arial" w:cs="Arial"/>
          <w:color w:val="000000"/>
          <w:sz w:val="20"/>
          <w:szCs w:val="20"/>
        </w:rPr>
        <w:t>Brock, M. E., &amp; Carter, E. W. (2017). A Meta-Analysis of Educator Training to Improve Implementation of Interventions for Students With Disabilities. Remedial and Special Education, 38(3), 131-144.</w:t>
      </w:r>
    </w:p>
    <w:p w:rsidR="00537A84" w:rsidRPr="00B261D5" w:rsidRDefault="00537A84" w:rsidP="00B261D5">
      <w:pPr>
        <w:spacing w:after="0"/>
        <w:ind w:left="567" w:hanging="567"/>
        <w:jc w:val="both"/>
        <w:rPr>
          <w:rFonts w:ascii="Arial" w:eastAsia="Arial" w:hAnsi="Arial" w:cs="Arial"/>
          <w:color w:val="000000"/>
          <w:sz w:val="20"/>
          <w:szCs w:val="20"/>
        </w:rPr>
      </w:pPr>
      <w:r w:rsidRPr="00B261D5">
        <w:rPr>
          <w:rFonts w:ascii="Arial" w:eastAsia="Arial" w:hAnsi="Arial" w:cs="Arial"/>
          <w:color w:val="000000"/>
          <w:sz w:val="20"/>
          <w:szCs w:val="20"/>
        </w:rPr>
        <w:t>Brown, T., &amp; Johnson, G. (2024). Appraisal and Advisement. In School Counselors as Practitioners: Building on Theory, Standards, and Experience for Optimal Performance, Second Edition (pp. 115-132). Routledge.</w:t>
      </w:r>
    </w:p>
    <w:p w:rsidR="00537A84" w:rsidRPr="00B261D5" w:rsidRDefault="00537A84" w:rsidP="00B261D5">
      <w:pPr>
        <w:spacing w:after="0"/>
        <w:ind w:left="567" w:hanging="567"/>
        <w:jc w:val="both"/>
        <w:rPr>
          <w:rFonts w:ascii="Arial" w:eastAsia="Arial" w:hAnsi="Arial" w:cs="Arial"/>
          <w:color w:val="000000"/>
          <w:sz w:val="20"/>
          <w:szCs w:val="20"/>
        </w:rPr>
      </w:pPr>
      <w:r w:rsidRPr="00B261D5">
        <w:rPr>
          <w:rFonts w:ascii="Arial" w:eastAsia="Arial" w:hAnsi="Arial" w:cs="Arial"/>
          <w:color w:val="000000"/>
          <w:sz w:val="20"/>
          <w:szCs w:val="20"/>
        </w:rPr>
        <w:lastRenderedPageBreak/>
        <w:t xml:space="preserve">Buasuwan, P., Suebnusorn, W., Butkatunyoo, O., Aunchitworawong, P., Khampanao, T., Suwannakhon, P., &amp; Sripongpankul, S. (2022). Re-envisioning a "skills framework" to meet 21st century demands: What do young people need? Frontiers in Education, 7. </w:t>
      </w:r>
    </w:p>
    <w:p w:rsidR="00537A84" w:rsidRPr="00B261D5" w:rsidRDefault="00537A84" w:rsidP="00B261D5">
      <w:pPr>
        <w:spacing w:after="0"/>
        <w:ind w:left="567" w:hanging="567"/>
        <w:jc w:val="both"/>
        <w:rPr>
          <w:rFonts w:ascii="Arial" w:eastAsia="Arial" w:hAnsi="Arial" w:cs="Arial"/>
          <w:color w:val="000000"/>
          <w:sz w:val="20"/>
          <w:szCs w:val="20"/>
        </w:rPr>
      </w:pPr>
      <w:r w:rsidRPr="00B261D5">
        <w:rPr>
          <w:rFonts w:ascii="Arial" w:eastAsia="Arial" w:hAnsi="Arial" w:cs="Arial"/>
          <w:color w:val="000000"/>
          <w:sz w:val="20"/>
          <w:szCs w:val="20"/>
        </w:rPr>
        <w:t>Casale, G., Herzog, M., &amp; Volpe, R. J. (2023). Measurement Efficiency of a Teacher Rating Scale to Screen for Students at Risk for Social, Emotional, and Behavioral Problems. Journal of Intelligence, 11(2).</w:t>
      </w:r>
    </w:p>
    <w:p w:rsidR="00537A84" w:rsidRPr="00B261D5" w:rsidRDefault="00537A84" w:rsidP="00B261D5">
      <w:pPr>
        <w:spacing w:after="0"/>
        <w:ind w:left="567" w:hanging="567"/>
        <w:jc w:val="both"/>
        <w:rPr>
          <w:rFonts w:ascii="Arial" w:eastAsia="Arial" w:hAnsi="Arial" w:cs="Arial"/>
          <w:color w:val="000000"/>
          <w:sz w:val="20"/>
          <w:szCs w:val="20"/>
        </w:rPr>
      </w:pPr>
      <w:r w:rsidRPr="00B261D5">
        <w:rPr>
          <w:rFonts w:ascii="Arial" w:eastAsia="Arial" w:hAnsi="Arial" w:cs="Arial"/>
          <w:color w:val="000000"/>
          <w:sz w:val="20"/>
          <w:szCs w:val="20"/>
        </w:rPr>
        <w:t xml:space="preserve">Chang, C.-Y., &amp; Kuo, H.-C. (2025). The development and validation of the digital literacy questionnaire and the evaluation of students' digital literacy. Education and Information Technologies, 30(3), 3367-3398. </w:t>
      </w:r>
    </w:p>
    <w:p w:rsidR="00537A84" w:rsidRPr="00B261D5" w:rsidRDefault="00537A84" w:rsidP="00B261D5">
      <w:pPr>
        <w:spacing w:after="0"/>
        <w:ind w:left="567" w:hanging="567"/>
        <w:jc w:val="both"/>
        <w:rPr>
          <w:rFonts w:ascii="Arial" w:eastAsia="Arial" w:hAnsi="Arial" w:cs="Arial"/>
          <w:color w:val="000000"/>
          <w:sz w:val="20"/>
          <w:szCs w:val="20"/>
        </w:rPr>
      </w:pPr>
      <w:r w:rsidRPr="00B261D5">
        <w:rPr>
          <w:rFonts w:ascii="Arial" w:eastAsia="Arial" w:hAnsi="Arial" w:cs="Arial"/>
          <w:color w:val="000000"/>
          <w:sz w:val="20"/>
          <w:szCs w:val="20"/>
        </w:rPr>
        <w:t>Conoley, C., Morgan Consoli, M. L., Zetzer, H., Scheel, M., &amp; Hernandez, R. (2015). Examining basic helping skills in Cross-Cultural Counseling between European American Counselors and Mexican American clients. Interamerican Journal of Psychology, 49(3), 340-348.</w:t>
      </w:r>
    </w:p>
    <w:p w:rsidR="00537A84" w:rsidRPr="00B261D5" w:rsidRDefault="00537A84" w:rsidP="00B261D5">
      <w:pPr>
        <w:spacing w:after="0"/>
        <w:ind w:left="567" w:hanging="567"/>
        <w:jc w:val="both"/>
        <w:rPr>
          <w:rFonts w:ascii="Arial" w:eastAsia="Arial" w:hAnsi="Arial" w:cs="Arial"/>
          <w:color w:val="000000"/>
          <w:sz w:val="20"/>
          <w:szCs w:val="20"/>
        </w:rPr>
      </w:pPr>
      <w:r w:rsidRPr="00B261D5">
        <w:rPr>
          <w:rFonts w:ascii="Arial" w:eastAsia="Arial" w:hAnsi="Arial" w:cs="Arial"/>
          <w:color w:val="000000"/>
          <w:sz w:val="20"/>
          <w:szCs w:val="20"/>
        </w:rPr>
        <w:t xml:space="preserve">Cornacchia, E., Bonvino, A., Scaramuzzi, G. F., Cozzolino, M., Marra, C., &amp; Taurisano, P. (2025). Digital Screening for Early Identification of Cognitive Impairment: A Narrative Review. Wiley Interdisciplinary Reviews: Cognitive Science, 16(1). </w:t>
      </w:r>
    </w:p>
    <w:p w:rsidR="00537A84" w:rsidRPr="00B261D5" w:rsidRDefault="00537A84" w:rsidP="00B261D5">
      <w:pPr>
        <w:spacing w:after="0"/>
        <w:ind w:left="567" w:hanging="567"/>
        <w:jc w:val="both"/>
        <w:rPr>
          <w:rFonts w:ascii="Arial" w:eastAsia="Arial" w:hAnsi="Arial" w:cs="Arial"/>
          <w:color w:val="000000"/>
          <w:sz w:val="20"/>
          <w:szCs w:val="20"/>
        </w:rPr>
      </w:pPr>
      <w:r w:rsidRPr="00B261D5">
        <w:rPr>
          <w:rFonts w:ascii="Arial" w:eastAsia="Arial" w:hAnsi="Arial" w:cs="Arial"/>
          <w:color w:val="000000"/>
          <w:sz w:val="20"/>
          <w:szCs w:val="20"/>
        </w:rPr>
        <w:t xml:space="preserve">Coşkun, A. B., Olgun, N., Tosun, N., Çakan, T., Aylan, S., &amp; Yildirim, N. (2025). Development and psychometric evaluation of the life management skills scale for children with type 1 diabetes. Journal of Pediatric Nursing, 76, 19-26. </w:t>
      </w:r>
    </w:p>
    <w:p w:rsidR="00537A84" w:rsidRPr="00B261D5" w:rsidRDefault="00537A84" w:rsidP="00B261D5">
      <w:pPr>
        <w:spacing w:after="0"/>
        <w:ind w:left="567" w:hanging="567"/>
        <w:jc w:val="both"/>
        <w:rPr>
          <w:rFonts w:ascii="Arial" w:eastAsia="Arial" w:hAnsi="Arial" w:cs="Arial"/>
          <w:color w:val="000000"/>
          <w:sz w:val="20"/>
          <w:szCs w:val="20"/>
        </w:rPr>
      </w:pPr>
      <w:r w:rsidRPr="00B261D5">
        <w:rPr>
          <w:rFonts w:ascii="Arial" w:eastAsia="Arial" w:hAnsi="Arial" w:cs="Arial"/>
          <w:color w:val="000000"/>
          <w:sz w:val="20"/>
          <w:szCs w:val="20"/>
        </w:rPr>
        <w:t xml:space="preserve">Cremeens, J., Eiser, C., &amp; Blades, M. (2007). A qualitative investigation of school-aged children's answers to items from a generic quality of life measure. Child: Care, Health and Development, 33(1), 83-89. </w:t>
      </w:r>
    </w:p>
    <w:p w:rsidR="00537A84" w:rsidRPr="00B261D5" w:rsidRDefault="00537A84" w:rsidP="00B261D5">
      <w:pPr>
        <w:spacing w:after="0"/>
        <w:ind w:left="567" w:hanging="567"/>
        <w:jc w:val="both"/>
        <w:rPr>
          <w:rFonts w:ascii="Arial" w:eastAsia="Arial" w:hAnsi="Arial" w:cs="Arial"/>
          <w:color w:val="000000"/>
          <w:sz w:val="20"/>
          <w:szCs w:val="20"/>
        </w:rPr>
      </w:pPr>
      <w:r w:rsidRPr="00B261D5">
        <w:rPr>
          <w:rFonts w:ascii="Arial" w:eastAsia="Arial" w:hAnsi="Arial" w:cs="Arial"/>
          <w:color w:val="000000"/>
          <w:sz w:val="20"/>
          <w:szCs w:val="20"/>
        </w:rPr>
        <w:t xml:space="preserve">Czaja, S. J., Loewenstein, D. A., Lee, C. C., Fu, S. H., &amp; Harvey, P. D. (2017). Assessing functional performance using computer-based simulations of everyday activities. Schizophrenia Research, 183, 130-136. </w:t>
      </w:r>
    </w:p>
    <w:p w:rsidR="00537A84" w:rsidRPr="00B261D5" w:rsidRDefault="00537A84" w:rsidP="00B261D5">
      <w:pPr>
        <w:spacing w:after="0"/>
        <w:ind w:left="567" w:hanging="567"/>
        <w:jc w:val="both"/>
        <w:rPr>
          <w:rFonts w:ascii="Arial" w:eastAsia="Arial" w:hAnsi="Arial" w:cs="Arial"/>
          <w:color w:val="000000"/>
          <w:sz w:val="20"/>
          <w:szCs w:val="20"/>
        </w:rPr>
      </w:pPr>
      <w:r w:rsidRPr="00B261D5">
        <w:rPr>
          <w:rFonts w:ascii="Arial" w:eastAsia="Arial" w:hAnsi="Arial" w:cs="Arial"/>
          <w:color w:val="000000"/>
          <w:sz w:val="20"/>
          <w:szCs w:val="20"/>
        </w:rPr>
        <w:t>Daly, J. A. (2023). Ground rules for effective leadership communication. In New Leadership Communication-Inspire Your Horizon (pp. 1-15). De Gruyter.</w:t>
      </w:r>
    </w:p>
    <w:p w:rsidR="00537A84" w:rsidRPr="00B261D5" w:rsidRDefault="00537A84" w:rsidP="00B261D5">
      <w:pPr>
        <w:spacing w:after="0"/>
        <w:ind w:left="567" w:hanging="567"/>
        <w:jc w:val="both"/>
        <w:rPr>
          <w:rFonts w:ascii="Arial" w:eastAsia="Arial" w:hAnsi="Arial" w:cs="Arial"/>
          <w:color w:val="000000"/>
          <w:sz w:val="20"/>
          <w:szCs w:val="20"/>
        </w:rPr>
      </w:pPr>
      <w:r w:rsidRPr="00B261D5">
        <w:rPr>
          <w:rFonts w:ascii="Arial" w:eastAsia="Arial" w:hAnsi="Arial" w:cs="Arial"/>
          <w:color w:val="000000"/>
          <w:sz w:val="20"/>
          <w:szCs w:val="20"/>
        </w:rPr>
        <w:t xml:space="preserve">Davydova, E. Yu., &amp; Sorokin, A. B. (2019). Assessment of Life Competencies in Elementary School Students. Psychological Science and Education, 24(6), 83-95. </w:t>
      </w:r>
    </w:p>
    <w:p w:rsidR="00537A84" w:rsidRPr="00B261D5" w:rsidRDefault="00537A84" w:rsidP="00B261D5">
      <w:pPr>
        <w:spacing w:after="0"/>
        <w:ind w:left="567" w:hanging="567"/>
        <w:jc w:val="both"/>
        <w:rPr>
          <w:rFonts w:ascii="Arial" w:eastAsia="Arial" w:hAnsi="Arial" w:cs="Arial"/>
          <w:color w:val="000000"/>
          <w:sz w:val="20"/>
          <w:szCs w:val="20"/>
        </w:rPr>
      </w:pPr>
      <w:r w:rsidRPr="00B261D5">
        <w:rPr>
          <w:rFonts w:ascii="Arial" w:eastAsia="Arial" w:hAnsi="Arial" w:cs="Arial"/>
          <w:color w:val="000000"/>
          <w:sz w:val="20"/>
          <w:szCs w:val="20"/>
        </w:rPr>
        <w:t xml:space="preserve">de los Ángeles Cueli Naranjo, M., &amp; Larrosa, S. L. (2022). Family-school relations: Beliefs within school counseling services. Revista Espanola de Orientacion y Psicopedagogia, 33(3), 39-57. </w:t>
      </w:r>
    </w:p>
    <w:p w:rsidR="00537A84" w:rsidRPr="00B261D5" w:rsidRDefault="00537A84" w:rsidP="00B261D5">
      <w:pPr>
        <w:spacing w:after="0"/>
        <w:ind w:left="567" w:hanging="567"/>
        <w:jc w:val="both"/>
        <w:rPr>
          <w:rFonts w:ascii="Arial" w:eastAsia="Arial" w:hAnsi="Arial" w:cs="Arial"/>
          <w:color w:val="000000"/>
          <w:sz w:val="20"/>
          <w:szCs w:val="20"/>
        </w:rPr>
      </w:pPr>
      <w:r w:rsidRPr="00B261D5">
        <w:rPr>
          <w:rFonts w:ascii="Arial" w:eastAsia="Arial" w:hAnsi="Arial" w:cs="Arial"/>
          <w:color w:val="000000"/>
          <w:sz w:val="20"/>
          <w:szCs w:val="20"/>
        </w:rPr>
        <w:t xml:space="preserve">De Souza, M. S., Soares, A. B., &amp; De Freitas, C. P. P. (2022). Social Emotional Learning (SEL) Program Among Fifth graders, Three and Six Months Later. Revista Colombiana de Psicologia, 31(2), 73-90. </w:t>
      </w:r>
    </w:p>
    <w:p w:rsidR="00537A84" w:rsidRPr="00B261D5" w:rsidRDefault="00537A84" w:rsidP="00B261D5">
      <w:pPr>
        <w:spacing w:after="0"/>
        <w:ind w:left="567" w:hanging="567"/>
        <w:jc w:val="both"/>
        <w:rPr>
          <w:rFonts w:ascii="Arial" w:eastAsia="Arial" w:hAnsi="Arial" w:cs="Arial"/>
          <w:color w:val="000000"/>
          <w:sz w:val="20"/>
          <w:szCs w:val="20"/>
        </w:rPr>
      </w:pPr>
      <w:r w:rsidRPr="00B261D5">
        <w:rPr>
          <w:rFonts w:ascii="Arial" w:eastAsia="Arial" w:hAnsi="Arial" w:cs="Arial"/>
          <w:color w:val="000000"/>
          <w:sz w:val="20"/>
          <w:szCs w:val="20"/>
        </w:rPr>
        <w:t xml:space="preserve">de Souza, M. S., Soares, A. B., &amp; Freitas, C. P. P. (2021). Evaluation and follow-up of a social skills training (SST) with elementary school children. Psicologia Clinica, 33(2), 267-288. </w:t>
      </w:r>
    </w:p>
    <w:p w:rsidR="00537A84" w:rsidRPr="00B261D5" w:rsidRDefault="00537A84" w:rsidP="00B261D5">
      <w:pPr>
        <w:spacing w:after="0"/>
        <w:ind w:left="567" w:hanging="567"/>
        <w:jc w:val="both"/>
        <w:rPr>
          <w:rFonts w:ascii="Arial" w:eastAsia="Arial" w:hAnsi="Arial" w:cs="Arial"/>
          <w:color w:val="000000"/>
          <w:sz w:val="20"/>
          <w:szCs w:val="20"/>
        </w:rPr>
      </w:pPr>
      <w:r w:rsidRPr="00B261D5">
        <w:rPr>
          <w:rFonts w:ascii="Arial" w:eastAsia="Arial" w:hAnsi="Arial" w:cs="Arial"/>
          <w:color w:val="000000"/>
          <w:sz w:val="20"/>
          <w:szCs w:val="20"/>
        </w:rPr>
        <w:t>Deshpande, A., &amp; Deshpande, V. (2023). Student Activity Recognition in Classroom Environments Using Transfer Learning. In 2023 International Conference on Computational Intelligence, Networks and Security (pp. 1-6). IEEE.</w:t>
      </w:r>
    </w:p>
    <w:p w:rsidR="00537A84" w:rsidRPr="00B261D5" w:rsidRDefault="00537A84" w:rsidP="00B261D5">
      <w:pPr>
        <w:spacing w:after="0"/>
        <w:ind w:left="567" w:hanging="567"/>
        <w:jc w:val="both"/>
        <w:rPr>
          <w:rFonts w:ascii="Arial" w:eastAsia="Arial" w:hAnsi="Arial" w:cs="Arial"/>
          <w:color w:val="000000"/>
          <w:sz w:val="20"/>
          <w:szCs w:val="20"/>
        </w:rPr>
      </w:pPr>
      <w:r w:rsidRPr="00B261D5">
        <w:rPr>
          <w:rFonts w:ascii="Arial" w:eastAsia="Arial" w:hAnsi="Arial" w:cs="Arial"/>
          <w:color w:val="000000"/>
          <w:sz w:val="20"/>
          <w:szCs w:val="20"/>
        </w:rPr>
        <w:t>Di Fabio, A. (2015). LIFE ADAPTABILITY QUALITATIVE ASSESSMENT (LAQuA): A Narrative Instrument for Evaluating Counselling Intervention Effectiveness. In Exploring New Horizons in Career Counselling: Turning Challenge into Opportunities (pp. 275-294). Brill.</w:t>
      </w:r>
    </w:p>
    <w:p w:rsidR="00537A84" w:rsidRPr="00B261D5" w:rsidRDefault="00537A84" w:rsidP="00B261D5">
      <w:pPr>
        <w:spacing w:after="0"/>
        <w:ind w:left="567" w:hanging="567"/>
        <w:jc w:val="both"/>
        <w:rPr>
          <w:rFonts w:ascii="Arial" w:eastAsia="Arial" w:hAnsi="Arial" w:cs="Arial"/>
          <w:color w:val="000000"/>
          <w:sz w:val="20"/>
          <w:szCs w:val="20"/>
        </w:rPr>
      </w:pPr>
      <w:r w:rsidRPr="00B261D5">
        <w:rPr>
          <w:rFonts w:ascii="Arial" w:eastAsia="Arial" w:hAnsi="Arial" w:cs="Arial"/>
          <w:color w:val="000000"/>
          <w:sz w:val="20"/>
          <w:szCs w:val="20"/>
        </w:rPr>
        <w:t>Dietrich, M. C. (1980). The affective domain in medical technology education. The American Journal of Medical Technology, 46(10), 770-773.</w:t>
      </w:r>
    </w:p>
    <w:p w:rsidR="00537A84" w:rsidRPr="00B261D5" w:rsidRDefault="00537A84" w:rsidP="00B261D5">
      <w:pPr>
        <w:spacing w:after="0"/>
        <w:ind w:left="567" w:hanging="567"/>
        <w:jc w:val="both"/>
        <w:rPr>
          <w:rFonts w:ascii="Arial" w:eastAsia="Arial" w:hAnsi="Arial" w:cs="Arial"/>
          <w:color w:val="000000"/>
          <w:sz w:val="20"/>
          <w:szCs w:val="20"/>
        </w:rPr>
      </w:pPr>
      <w:r w:rsidRPr="00B261D5">
        <w:rPr>
          <w:rFonts w:ascii="Arial" w:eastAsia="Arial" w:hAnsi="Arial" w:cs="Arial"/>
          <w:color w:val="000000"/>
          <w:sz w:val="20"/>
          <w:szCs w:val="20"/>
        </w:rPr>
        <w:lastRenderedPageBreak/>
        <w:t xml:space="preserve">Didaskalou, E., Briesch, A. M., Volpe, R. J., &amp; Roussi-Vergou, C. (2022). Psychometric properties of the classroom observation of engagement, disruptive, and disrespectful behavior (COEDD) in Greek school children. International Journal of School and Educational Psychology, 10(2), 173-183. </w:t>
      </w:r>
    </w:p>
    <w:p w:rsidR="00537A84" w:rsidRPr="00B261D5" w:rsidRDefault="00537A84" w:rsidP="00B261D5">
      <w:pPr>
        <w:spacing w:after="0"/>
        <w:ind w:left="567" w:hanging="567"/>
        <w:jc w:val="both"/>
        <w:rPr>
          <w:rFonts w:ascii="Arial" w:eastAsia="Arial" w:hAnsi="Arial" w:cs="Arial"/>
          <w:color w:val="000000"/>
          <w:sz w:val="20"/>
          <w:szCs w:val="20"/>
        </w:rPr>
      </w:pPr>
      <w:r w:rsidRPr="00B261D5">
        <w:rPr>
          <w:rFonts w:ascii="Arial" w:eastAsia="Arial" w:hAnsi="Arial" w:cs="Arial"/>
          <w:color w:val="000000"/>
          <w:sz w:val="20"/>
          <w:szCs w:val="20"/>
        </w:rPr>
        <w:t>Dudek, N., &amp; Cook, D. (2019). Narrative Assessment. In Assessment in Health Professions Education (pp. 345-363). Routledge.</w:t>
      </w:r>
    </w:p>
    <w:p w:rsidR="00537A84" w:rsidRPr="00B261D5" w:rsidRDefault="00537A84" w:rsidP="00B261D5">
      <w:pPr>
        <w:spacing w:after="0"/>
        <w:ind w:left="567" w:hanging="567"/>
        <w:jc w:val="both"/>
        <w:rPr>
          <w:rFonts w:ascii="Arial" w:eastAsia="Arial" w:hAnsi="Arial" w:cs="Arial"/>
          <w:color w:val="000000"/>
          <w:sz w:val="20"/>
          <w:szCs w:val="20"/>
        </w:rPr>
      </w:pPr>
      <w:r w:rsidRPr="00B261D5">
        <w:rPr>
          <w:rFonts w:ascii="Arial" w:eastAsia="Arial" w:hAnsi="Arial" w:cs="Arial"/>
          <w:color w:val="000000"/>
          <w:sz w:val="20"/>
          <w:szCs w:val="20"/>
        </w:rPr>
        <w:t xml:space="preserve">Edmunds, A. L. (1998). Content, concurrent and construct validity of the leadership skills inventory. Roeper Review, 20(4), 281-285. </w:t>
      </w:r>
    </w:p>
    <w:p w:rsidR="00537A84" w:rsidRPr="00B261D5" w:rsidRDefault="00537A84" w:rsidP="00B261D5">
      <w:pPr>
        <w:spacing w:after="0"/>
        <w:ind w:left="567" w:hanging="567"/>
        <w:jc w:val="both"/>
        <w:rPr>
          <w:rFonts w:ascii="Arial" w:eastAsia="Arial" w:hAnsi="Arial" w:cs="Arial"/>
          <w:color w:val="000000"/>
          <w:sz w:val="20"/>
          <w:szCs w:val="20"/>
        </w:rPr>
      </w:pPr>
      <w:r w:rsidRPr="00B261D5">
        <w:rPr>
          <w:rFonts w:ascii="Arial" w:eastAsia="Arial" w:hAnsi="Arial" w:cs="Arial"/>
          <w:color w:val="000000"/>
          <w:sz w:val="20"/>
          <w:szCs w:val="20"/>
        </w:rPr>
        <w:t xml:space="preserve">Ennis, R. P., Lane, K. L., &amp; Oakes, W. P. (2012). Score Reliability and Validity of the Student Risk Screening Scale: A Psychometrically Sound, Feasible Tool for Use in Urban Elementary Schools. Journal of Emotional and Behavioral Disorders, 20(4), 241-259. </w:t>
      </w:r>
    </w:p>
    <w:p w:rsidR="00537A84" w:rsidRPr="00B261D5" w:rsidRDefault="00537A84" w:rsidP="00B261D5">
      <w:pPr>
        <w:spacing w:after="0"/>
        <w:ind w:left="567" w:hanging="567"/>
        <w:jc w:val="both"/>
        <w:rPr>
          <w:rFonts w:ascii="Arial" w:eastAsia="Arial" w:hAnsi="Arial" w:cs="Arial"/>
          <w:color w:val="000000"/>
          <w:sz w:val="20"/>
          <w:szCs w:val="20"/>
        </w:rPr>
      </w:pPr>
      <w:r w:rsidRPr="00B261D5">
        <w:rPr>
          <w:rFonts w:ascii="Arial" w:eastAsia="Arial" w:hAnsi="Arial" w:cs="Arial"/>
          <w:color w:val="000000"/>
          <w:sz w:val="20"/>
          <w:szCs w:val="20"/>
        </w:rPr>
        <w:t xml:space="preserve">Epkins, C. C., &amp; Meyers, A. W. (1994). Assessment of Childhood Depression, Anxiety, and Aggression: Convergent and Discriminant Validity of Self-, Parent-, Teacher, and Peer-Report Measures. Journal of Personality Assessment, 62(2), 364-381. </w:t>
      </w:r>
    </w:p>
    <w:p w:rsidR="00537A84" w:rsidRPr="00B261D5" w:rsidRDefault="00537A84" w:rsidP="00B261D5">
      <w:pPr>
        <w:spacing w:after="0"/>
        <w:ind w:left="567" w:hanging="567"/>
        <w:jc w:val="both"/>
        <w:rPr>
          <w:rFonts w:ascii="Arial" w:eastAsia="Arial" w:hAnsi="Arial" w:cs="Arial"/>
          <w:color w:val="000000"/>
          <w:sz w:val="20"/>
          <w:szCs w:val="20"/>
        </w:rPr>
      </w:pPr>
      <w:r w:rsidRPr="00B261D5">
        <w:rPr>
          <w:rFonts w:ascii="Arial" w:eastAsia="Arial" w:hAnsi="Arial" w:cs="Arial"/>
          <w:color w:val="000000"/>
          <w:sz w:val="20"/>
          <w:szCs w:val="20"/>
        </w:rPr>
        <w:t>Erawan, P. (2010). Developing life skills scale for high school students through mixed methods research. European Journal of Scientific Research, 47(2), 169-186.</w:t>
      </w:r>
    </w:p>
    <w:p w:rsidR="00537A84" w:rsidRPr="00B261D5" w:rsidRDefault="00537A84" w:rsidP="00B261D5">
      <w:pPr>
        <w:spacing w:after="0"/>
        <w:ind w:left="567" w:hanging="567"/>
        <w:jc w:val="both"/>
        <w:rPr>
          <w:rFonts w:ascii="Arial" w:eastAsia="Arial" w:hAnsi="Arial" w:cs="Arial"/>
          <w:color w:val="000000"/>
          <w:sz w:val="20"/>
          <w:szCs w:val="20"/>
        </w:rPr>
      </w:pPr>
      <w:r w:rsidRPr="00B261D5">
        <w:rPr>
          <w:rFonts w:ascii="Arial" w:eastAsia="Arial" w:hAnsi="Arial" w:cs="Arial"/>
          <w:color w:val="000000"/>
          <w:sz w:val="20"/>
          <w:szCs w:val="20"/>
        </w:rPr>
        <w:t>Erdman, P., &amp; Lampe, R. (1996). Adapting basic skills to counsel children. Journal of Counseling and Development, 74(4), 374-377.</w:t>
      </w:r>
    </w:p>
    <w:p w:rsidR="00537A84" w:rsidRPr="00B261D5" w:rsidRDefault="00537A84" w:rsidP="00B261D5">
      <w:pPr>
        <w:spacing w:after="0"/>
        <w:ind w:left="567" w:hanging="567"/>
        <w:jc w:val="both"/>
        <w:rPr>
          <w:rFonts w:ascii="Arial" w:eastAsia="Arial" w:hAnsi="Arial" w:cs="Arial"/>
          <w:color w:val="000000"/>
          <w:sz w:val="20"/>
          <w:szCs w:val="20"/>
        </w:rPr>
      </w:pPr>
      <w:r w:rsidRPr="00B261D5">
        <w:rPr>
          <w:rFonts w:ascii="Arial" w:eastAsia="Arial" w:hAnsi="Arial" w:cs="Arial"/>
          <w:color w:val="000000"/>
          <w:sz w:val="20"/>
          <w:szCs w:val="20"/>
        </w:rPr>
        <w:t xml:space="preserve">Eschenbeck, H., Kohlmann, C.-W., Lohaus, A., &amp; Klein-Heßling, J. (2006). The assessment of coping with the "Questionnaire for the Measurement Stress and Coping in Children and Adolescents (SSKJ 3-8)": Factorial and psychometric analyses. Diagnostica, 52(3), 131-142. </w:t>
      </w:r>
    </w:p>
    <w:p w:rsidR="00537A84" w:rsidRPr="00B261D5" w:rsidRDefault="00537A84" w:rsidP="00B261D5">
      <w:pPr>
        <w:spacing w:after="0"/>
        <w:ind w:left="567" w:hanging="567"/>
        <w:jc w:val="both"/>
        <w:rPr>
          <w:rFonts w:ascii="Arial" w:eastAsia="Arial" w:hAnsi="Arial" w:cs="Arial"/>
          <w:color w:val="000000"/>
          <w:sz w:val="20"/>
          <w:szCs w:val="20"/>
        </w:rPr>
      </w:pPr>
      <w:r w:rsidRPr="00B261D5">
        <w:rPr>
          <w:rFonts w:ascii="Arial" w:eastAsia="Arial" w:hAnsi="Arial" w:cs="Arial"/>
          <w:color w:val="000000"/>
          <w:sz w:val="20"/>
          <w:szCs w:val="20"/>
        </w:rPr>
        <w:t xml:space="preserve">Fernandes, M., Morais, I., Santos, C., Cruz, O., &amp; Veríssimo, M. (2024). Factorial structure, measurement invariance and reliability of the Emotion Regulation Checklist (ERC) in a sample of Portuguese parents. Analise Psicologica, 42(2), 165-178. </w:t>
      </w:r>
    </w:p>
    <w:p w:rsidR="00537A84" w:rsidRPr="00B261D5" w:rsidRDefault="00537A84" w:rsidP="00B261D5">
      <w:pPr>
        <w:spacing w:after="0"/>
        <w:ind w:left="567" w:hanging="567"/>
        <w:jc w:val="both"/>
        <w:rPr>
          <w:rFonts w:ascii="Arial" w:eastAsia="Arial" w:hAnsi="Arial" w:cs="Arial"/>
          <w:color w:val="000000"/>
          <w:sz w:val="20"/>
          <w:szCs w:val="20"/>
        </w:rPr>
      </w:pPr>
      <w:r w:rsidRPr="00B261D5">
        <w:rPr>
          <w:rFonts w:ascii="Arial" w:eastAsia="Arial" w:hAnsi="Arial" w:cs="Arial"/>
          <w:color w:val="000000"/>
          <w:sz w:val="20"/>
          <w:szCs w:val="20"/>
        </w:rPr>
        <w:t xml:space="preserve">Fuentes, A. P. M. D. C., González-Forteza, C., Ruiz-Cortés, E. M., Mondragón, L., &amp; Tapia, A. J. (2025). Psychometric Properties of Brief Life Skills Scale for Adolescents. Salud Mental, 48(1), 1-10. </w:t>
      </w:r>
    </w:p>
    <w:p w:rsidR="00537A84" w:rsidRPr="00B261D5" w:rsidRDefault="00537A84" w:rsidP="00B261D5">
      <w:pPr>
        <w:spacing w:after="0"/>
        <w:ind w:left="567" w:hanging="567"/>
        <w:jc w:val="both"/>
        <w:rPr>
          <w:rFonts w:ascii="Arial" w:eastAsia="Arial" w:hAnsi="Arial" w:cs="Arial"/>
          <w:color w:val="000000"/>
          <w:sz w:val="20"/>
          <w:szCs w:val="20"/>
        </w:rPr>
      </w:pPr>
      <w:r w:rsidRPr="00B261D5">
        <w:rPr>
          <w:rFonts w:ascii="Arial" w:eastAsia="Arial" w:hAnsi="Arial" w:cs="Arial"/>
          <w:color w:val="000000"/>
          <w:sz w:val="20"/>
          <w:szCs w:val="20"/>
        </w:rPr>
        <w:t xml:space="preserve">Fuqua, A., Baker, J., Morgan, J. J., &amp; Higgins, K. (2025). Effects of I-Connect to Increase Communication Initiations of Elementary Students on the Autism Spectrum. Journal of Autism and Developmental Disorders, 55(1), 224-237. </w:t>
      </w:r>
    </w:p>
    <w:p w:rsidR="00537A84" w:rsidRPr="00B261D5" w:rsidRDefault="00537A84" w:rsidP="00B261D5">
      <w:pPr>
        <w:spacing w:after="0"/>
        <w:ind w:left="567" w:hanging="567"/>
        <w:jc w:val="both"/>
        <w:rPr>
          <w:rFonts w:ascii="Arial" w:eastAsia="Arial" w:hAnsi="Arial" w:cs="Arial"/>
          <w:color w:val="000000"/>
          <w:sz w:val="20"/>
          <w:szCs w:val="20"/>
        </w:rPr>
      </w:pPr>
      <w:r w:rsidRPr="00B261D5">
        <w:rPr>
          <w:rFonts w:ascii="Arial" w:eastAsia="Arial" w:hAnsi="Arial" w:cs="Arial"/>
          <w:color w:val="000000"/>
          <w:sz w:val="20"/>
          <w:szCs w:val="20"/>
        </w:rPr>
        <w:t>Ghiano, C. (2025). Evaluation from and for Latin America: Key elements for a culturally responsive evaluation approach proposal adapted to the regional reality. In Handbook of Public Policy in Latin America (pp. 521-539). Edward Elgar Publishing.</w:t>
      </w:r>
    </w:p>
    <w:p w:rsidR="00537A84" w:rsidRPr="00B261D5" w:rsidRDefault="00537A84" w:rsidP="00B261D5">
      <w:pPr>
        <w:spacing w:after="0"/>
        <w:ind w:left="567" w:hanging="567"/>
        <w:jc w:val="both"/>
        <w:rPr>
          <w:rFonts w:ascii="Arial" w:eastAsia="Arial" w:hAnsi="Arial" w:cs="Arial"/>
          <w:color w:val="000000"/>
          <w:sz w:val="20"/>
          <w:szCs w:val="20"/>
        </w:rPr>
      </w:pPr>
      <w:r w:rsidRPr="00B261D5">
        <w:rPr>
          <w:rFonts w:ascii="Arial" w:eastAsia="Arial" w:hAnsi="Arial" w:cs="Arial"/>
          <w:color w:val="000000"/>
          <w:sz w:val="20"/>
          <w:szCs w:val="20"/>
        </w:rPr>
        <w:t xml:space="preserve">Ghombavani, F. P., Alwi, N. H., Ghadi, I., &amp; Tarmizi, R. A. (2012). Construct validity examination of life skills for primary school students in Iran. Mediterranean Journal of Social Sciences, 3(11), 261-268. </w:t>
      </w:r>
    </w:p>
    <w:p w:rsidR="00537A84" w:rsidRPr="00B261D5" w:rsidRDefault="00537A84" w:rsidP="00B261D5">
      <w:pPr>
        <w:spacing w:after="0"/>
        <w:ind w:left="567" w:hanging="567"/>
        <w:jc w:val="both"/>
        <w:rPr>
          <w:rFonts w:ascii="Arial" w:eastAsia="Arial" w:hAnsi="Arial" w:cs="Arial"/>
          <w:color w:val="000000"/>
          <w:sz w:val="20"/>
          <w:szCs w:val="20"/>
        </w:rPr>
      </w:pPr>
      <w:r w:rsidRPr="00B261D5">
        <w:rPr>
          <w:rFonts w:ascii="Arial" w:eastAsia="Arial" w:hAnsi="Arial" w:cs="Arial"/>
          <w:color w:val="000000"/>
          <w:sz w:val="20"/>
          <w:szCs w:val="20"/>
        </w:rPr>
        <w:t>Giacomazzi, M. (2024). The Contextualisation of 21st Century Skills in East Africa. In Enabling Power of Assessment (pp. 171-193). Brill.</w:t>
      </w:r>
    </w:p>
    <w:p w:rsidR="00537A84" w:rsidRPr="00B261D5" w:rsidRDefault="00537A84" w:rsidP="00B261D5">
      <w:pPr>
        <w:spacing w:after="0"/>
        <w:ind w:left="567" w:hanging="567"/>
        <w:jc w:val="both"/>
        <w:rPr>
          <w:rFonts w:ascii="Arial" w:eastAsia="Arial" w:hAnsi="Arial" w:cs="Arial"/>
          <w:color w:val="000000"/>
          <w:sz w:val="20"/>
          <w:szCs w:val="20"/>
        </w:rPr>
      </w:pPr>
      <w:r w:rsidRPr="00B261D5">
        <w:rPr>
          <w:rFonts w:ascii="Arial" w:eastAsia="Arial" w:hAnsi="Arial" w:cs="Arial"/>
          <w:color w:val="000000"/>
          <w:sz w:val="20"/>
          <w:szCs w:val="20"/>
        </w:rPr>
        <w:t xml:space="preserve">Gilljam, B.-M., Arvidsson, S., Nygren, J. M., &amp; Svedberg, P. (2020). Child participation in health care (ChiPaC)—Development and psychometric evaluation of a self-report instrument for children's participation in health care. Journal of Clinical Nursing, 29(5-6), 1015-1034. </w:t>
      </w:r>
    </w:p>
    <w:p w:rsidR="00537A84" w:rsidRPr="00B261D5" w:rsidRDefault="00537A84" w:rsidP="00B261D5">
      <w:pPr>
        <w:spacing w:after="0"/>
        <w:ind w:left="567" w:hanging="567"/>
        <w:jc w:val="both"/>
        <w:rPr>
          <w:rFonts w:ascii="Arial" w:eastAsia="Arial" w:hAnsi="Arial" w:cs="Arial"/>
          <w:color w:val="000000"/>
          <w:sz w:val="20"/>
          <w:szCs w:val="20"/>
        </w:rPr>
      </w:pPr>
      <w:r w:rsidRPr="00B261D5">
        <w:rPr>
          <w:rFonts w:ascii="Arial" w:eastAsia="Arial" w:hAnsi="Arial" w:cs="Arial"/>
          <w:color w:val="000000"/>
          <w:sz w:val="20"/>
          <w:szCs w:val="20"/>
        </w:rPr>
        <w:t xml:space="preserve">Gomes, A. R. (2025). Life Skills Comprehension: Dilemmas and Potential Alternatives. Humanistic Psychologist, 53(1), 12-28. </w:t>
      </w:r>
    </w:p>
    <w:p w:rsidR="00537A84" w:rsidRPr="00B261D5" w:rsidRDefault="00537A84" w:rsidP="00B261D5">
      <w:pPr>
        <w:spacing w:after="0"/>
        <w:ind w:left="567" w:hanging="567"/>
        <w:jc w:val="both"/>
        <w:rPr>
          <w:rFonts w:ascii="Arial" w:eastAsia="Arial" w:hAnsi="Arial" w:cs="Arial"/>
          <w:color w:val="000000"/>
          <w:sz w:val="20"/>
          <w:szCs w:val="20"/>
        </w:rPr>
      </w:pPr>
      <w:r w:rsidRPr="00B261D5">
        <w:rPr>
          <w:rFonts w:ascii="Arial" w:eastAsia="Arial" w:hAnsi="Arial" w:cs="Arial"/>
          <w:color w:val="000000"/>
          <w:sz w:val="20"/>
          <w:szCs w:val="20"/>
        </w:rPr>
        <w:t xml:space="preserve">Gomez Cardona, L., Yang, M., Seon, Q., Tully, L. M., Abidi, S., Boilson, M., O'Hanlon, J., Abdel-Baki, A., Iyer, S., Boksa, P., Joober, R., Shah, J., Lal, S., Manchanda, R., </w:t>
      </w:r>
      <w:r w:rsidRPr="00B261D5">
        <w:rPr>
          <w:rFonts w:ascii="Arial" w:eastAsia="Arial" w:hAnsi="Arial" w:cs="Arial"/>
          <w:color w:val="000000"/>
          <w:sz w:val="20"/>
          <w:szCs w:val="20"/>
        </w:rPr>
        <w:lastRenderedPageBreak/>
        <w:t xml:space="preserve">Tibbo, P., Maraj, A., Anderson, K., Veru, F., Pawliuk, N., &amp; Linnaranta, O. (2023). The methods of improving cultural sensitivity of depression scales for use among global indigenous populations: A systematic scoping review. Global Mental Health, 10. </w:t>
      </w:r>
    </w:p>
    <w:p w:rsidR="00537A84" w:rsidRPr="00B261D5" w:rsidRDefault="00537A84" w:rsidP="00B261D5">
      <w:pPr>
        <w:spacing w:after="0"/>
        <w:ind w:left="567" w:hanging="567"/>
        <w:jc w:val="both"/>
        <w:rPr>
          <w:rFonts w:ascii="Arial" w:eastAsia="Arial" w:hAnsi="Arial" w:cs="Arial"/>
          <w:color w:val="000000"/>
          <w:sz w:val="20"/>
          <w:szCs w:val="20"/>
        </w:rPr>
      </w:pPr>
      <w:r w:rsidRPr="00B261D5">
        <w:rPr>
          <w:rFonts w:ascii="Arial" w:eastAsia="Arial" w:hAnsi="Arial" w:cs="Arial"/>
          <w:color w:val="000000"/>
          <w:sz w:val="20"/>
          <w:szCs w:val="20"/>
        </w:rPr>
        <w:t xml:space="preserve">González-Rosario, L. M., &amp; Gibbons, M. M. (2025). Predictive Factors of School Counselor and School Counseling Intern Use of Creative Intervention with Culturally and Linguistically Diverse Students: A Multiple Regression Analysis. Journal of Creativity in Mental Health, 20(1), 67-84. </w:t>
      </w:r>
    </w:p>
    <w:p w:rsidR="00537A84" w:rsidRPr="00B261D5" w:rsidRDefault="00537A84" w:rsidP="00B261D5">
      <w:pPr>
        <w:spacing w:after="0"/>
        <w:ind w:left="567" w:hanging="567"/>
        <w:jc w:val="both"/>
        <w:rPr>
          <w:rFonts w:ascii="Arial" w:eastAsia="Arial" w:hAnsi="Arial" w:cs="Arial"/>
          <w:color w:val="000000"/>
          <w:sz w:val="20"/>
          <w:szCs w:val="20"/>
        </w:rPr>
      </w:pPr>
      <w:r w:rsidRPr="00B261D5">
        <w:rPr>
          <w:rFonts w:ascii="Arial" w:eastAsia="Arial" w:hAnsi="Arial" w:cs="Arial"/>
          <w:color w:val="000000"/>
          <w:sz w:val="20"/>
          <w:szCs w:val="20"/>
        </w:rPr>
        <w:t xml:space="preserve">Hafina, A., Rusmana, N., Hamzah, R. M., Rahmawati, D., &amp; Mulyati, S. (2024). Developing a model for life skills training through the enhancement of academic, personal, social, and career competencies for middle school students. Journal of Education and e-Learning Research, 11(3), 473-483. </w:t>
      </w:r>
    </w:p>
    <w:p w:rsidR="00537A84" w:rsidRPr="00B261D5" w:rsidRDefault="00537A84" w:rsidP="00B261D5">
      <w:pPr>
        <w:spacing w:after="0"/>
        <w:ind w:left="567" w:hanging="567"/>
        <w:jc w:val="both"/>
        <w:rPr>
          <w:rFonts w:ascii="Arial" w:eastAsia="Arial" w:hAnsi="Arial" w:cs="Arial"/>
          <w:color w:val="000000"/>
          <w:sz w:val="20"/>
          <w:szCs w:val="20"/>
        </w:rPr>
      </w:pPr>
      <w:r w:rsidRPr="00B261D5">
        <w:rPr>
          <w:rFonts w:ascii="Arial" w:eastAsia="Arial" w:hAnsi="Arial" w:cs="Arial"/>
          <w:color w:val="000000"/>
          <w:sz w:val="20"/>
          <w:szCs w:val="20"/>
        </w:rPr>
        <w:t xml:space="preserve">Hahn, E. J., Noland, M. P., Rayens, M. K., &amp; Christie, D. M. (2002). Efficacy of Training and Fidelity of Implementation of the Life Skills Training Program. Journal of School Health, 72(7), 282-287. </w:t>
      </w:r>
    </w:p>
    <w:p w:rsidR="00537A84" w:rsidRPr="00B261D5" w:rsidRDefault="00537A84" w:rsidP="00B261D5">
      <w:pPr>
        <w:spacing w:after="0"/>
        <w:ind w:left="567" w:hanging="567"/>
        <w:jc w:val="both"/>
        <w:rPr>
          <w:rFonts w:ascii="Arial" w:eastAsia="Arial" w:hAnsi="Arial" w:cs="Arial"/>
          <w:color w:val="000000"/>
          <w:sz w:val="20"/>
          <w:szCs w:val="20"/>
        </w:rPr>
      </w:pPr>
      <w:r w:rsidRPr="00B261D5">
        <w:rPr>
          <w:rFonts w:ascii="Arial" w:eastAsia="Arial" w:hAnsi="Arial" w:cs="Arial"/>
          <w:color w:val="000000"/>
          <w:sz w:val="20"/>
          <w:szCs w:val="20"/>
        </w:rPr>
        <w:t xml:space="preserve">Hartzell, R. I., Lane, C. J., Umbreit, J., Liaupsin, C., &amp; Hanks, M. (2020). Peer-Supported Inclusive Social Skills Instruction for Elementary Students with Emotional and Behavioral Disorders. Education and Treatment of Children, 43(3), 215-231. </w:t>
      </w:r>
    </w:p>
    <w:p w:rsidR="00537A84" w:rsidRPr="00B261D5" w:rsidRDefault="00537A84" w:rsidP="00B261D5">
      <w:pPr>
        <w:spacing w:after="0"/>
        <w:ind w:left="567" w:hanging="567"/>
        <w:jc w:val="both"/>
        <w:rPr>
          <w:rFonts w:ascii="Arial" w:eastAsia="Arial" w:hAnsi="Arial" w:cs="Arial"/>
          <w:color w:val="000000"/>
          <w:sz w:val="20"/>
          <w:szCs w:val="20"/>
        </w:rPr>
      </w:pPr>
      <w:r w:rsidRPr="00B261D5">
        <w:rPr>
          <w:rFonts w:ascii="Arial" w:eastAsia="Arial" w:hAnsi="Arial" w:cs="Arial"/>
          <w:color w:val="000000"/>
          <w:sz w:val="20"/>
          <w:szCs w:val="20"/>
        </w:rPr>
        <w:t>Hatch, T., Hartline, J., &amp; Edwards, C. N. (2022). Data-driven services and school counseling efficacy assessment. In Foundations of School Counseling: Innovation in Professional Practice (pp. 241-258). Routledge.</w:t>
      </w:r>
    </w:p>
    <w:p w:rsidR="00537A84" w:rsidRPr="00B261D5" w:rsidRDefault="00537A84" w:rsidP="00B261D5">
      <w:pPr>
        <w:spacing w:after="0"/>
        <w:ind w:left="567" w:hanging="567"/>
        <w:jc w:val="both"/>
        <w:rPr>
          <w:rFonts w:ascii="Arial" w:eastAsia="Arial" w:hAnsi="Arial" w:cs="Arial"/>
          <w:color w:val="000000"/>
          <w:sz w:val="20"/>
          <w:szCs w:val="20"/>
        </w:rPr>
      </w:pPr>
      <w:r w:rsidRPr="00B261D5">
        <w:rPr>
          <w:rFonts w:ascii="Arial" w:eastAsia="Arial" w:hAnsi="Arial" w:cs="Arial"/>
          <w:color w:val="000000"/>
          <w:sz w:val="20"/>
          <w:szCs w:val="20"/>
        </w:rPr>
        <w:t xml:space="preserve">Helfrich, C. A., Aviles, A. M., Badiani, C., Walens, D., &amp; Sabol, P. (2006). Life skill interventions with homeless youth, domestic violence victims and adults with mental illness. Occupational Therapy in Health Care, 20(3-4), 189-207. </w:t>
      </w:r>
    </w:p>
    <w:p w:rsidR="00537A84" w:rsidRPr="00B261D5" w:rsidRDefault="00537A84" w:rsidP="00B261D5">
      <w:pPr>
        <w:spacing w:after="0"/>
        <w:ind w:left="567" w:hanging="567"/>
        <w:jc w:val="both"/>
        <w:rPr>
          <w:rFonts w:ascii="Arial" w:eastAsia="Arial" w:hAnsi="Arial" w:cs="Arial"/>
          <w:color w:val="000000"/>
          <w:sz w:val="20"/>
          <w:szCs w:val="20"/>
        </w:rPr>
      </w:pPr>
      <w:r w:rsidRPr="00B261D5">
        <w:rPr>
          <w:rFonts w:ascii="Arial" w:eastAsia="Arial" w:hAnsi="Arial" w:cs="Arial"/>
          <w:color w:val="000000"/>
          <w:sz w:val="20"/>
          <w:szCs w:val="20"/>
        </w:rPr>
        <w:t xml:space="preserve">Himmelmeier, L., Waltereit, R., &amp; Werheid, K. (2025). Multi-method ADHD diagnostics in children: CBCL and TRF lead the way. Frontiers in Psychiatry, 15. </w:t>
      </w:r>
    </w:p>
    <w:p w:rsidR="00537A84" w:rsidRPr="00B261D5" w:rsidRDefault="00537A84" w:rsidP="00B261D5">
      <w:pPr>
        <w:spacing w:after="0"/>
        <w:ind w:left="567" w:hanging="567"/>
        <w:jc w:val="both"/>
        <w:rPr>
          <w:rFonts w:ascii="Arial" w:eastAsia="Arial" w:hAnsi="Arial" w:cs="Arial"/>
          <w:color w:val="000000"/>
          <w:sz w:val="20"/>
          <w:szCs w:val="20"/>
        </w:rPr>
      </w:pPr>
      <w:r w:rsidRPr="00B261D5">
        <w:rPr>
          <w:rFonts w:ascii="Arial" w:eastAsia="Arial" w:hAnsi="Arial" w:cs="Arial"/>
          <w:color w:val="000000"/>
          <w:sz w:val="20"/>
          <w:szCs w:val="20"/>
        </w:rPr>
        <w:t>Hodge, K., Danish, S., Forneris, T., &amp; Miles, A. (2016). Life skills and basic psychological needs: A conceptual framework for life skills interventions. In Positive Youth Development through Sport: Second Edition (pp. 45-56). Routledge.</w:t>
      </w:r>
    </w:p>
    <w:p w:rsidR="00537A84" w:rsidRPr="00B261D5" w:rsidRDefault="00537A84" w:rsidP="00B261D5">
      <w:pPr>
        <w:spacing w:after="0"/>
        <w:ind w:left="567" w:hanging="567"/>
        <w:jc w:val="both"/>
        <w:rPr>
          <w:rFonts w:ascii="Arial" w:eastAsia="Arial" w:hAnsi="Arial" w:cs="Arial"/>
          <w:color w:val="000000"/>
          <w:sz w:val="20"/>
          <w:szCs w:val="20"/>
        </w:rPr>
      </w:pPr>
      <w:r w:rsidRPr="00B261D5">
        <w:rPr>
          <w:rFonts w:ascii="Arial" w:eastAsia="Arial" w:hAnsi="Arial" w:cs="Arial"/>
          <w:color w:val="000000"/>
          <w:sz w:val="20"/>
          <w:szCs w:val="20"/>
        </w:rPr>
        <w:t xml:space="preserve">Hodge, K., Danish, S., &amp; Martin, J. (2013). Developing a Conceptual Framework for Life Skills Interventions. The Counseling Psychologist, 41(8), 1125-1152. </w:t>
      </w:r>
    </w:p>
    <w:p w:rsidR="00537A84" w:rsidRPr="00B261D5" w:rsidRDefault="00537A84" w:rsidP="00B261D5">
      <w:pPr>
        <w:spacing w:after="0"/>
        <w:ind w:left="567" w:hanging="567"/>
        <w:jc w:val="both"/>
        <w:rPr>
          <w:rFonts w:ascii="Arial" w:eastAsia="Arial" w:hAnsi="Arial" w:cs="Arial"/>
          <w:color w:val="000000"/>
          <w:sz w:val="20"/>
          <w:szCs w:val="20"/>
        </w:rPr>
      </w:pPr>
      <w:r w:rsidRPr="00B261D5">
        <w:rPr>
          <w:rFonts w:ascii="Arial" w:eastAsia="Arial" w:hAnsi="Arial" w:cs="Arial"/>
          <w:color w:val="000000"/>
          <w:sz w:val="20"/>
          <w:szCs w:val="20"/>
        </w:rPr>
        <w:t xml:space="preserve">Huebner, E. S. (1995). The Students' Life Satisfaction Scale: An assessment of psychometric properties with black and white elementary school students. Social Indicators Research, 34(3), 315-323. </w:t>
      </w:r>
    </w:p>
    <w:p w:rsidR="00537A84" w:rsidRPr="00B261D5" w:rsidRDefault="00537A84" w:rsidP="00B261D5">
      <w:pPr>
        <w:spacing w:after="0"/>
        <w:ind w:left="567" w:hanging="567"/>
        <w:jc w:val="both"/>
        <w:rPr>
          <w:rFonts w:ascii="Arial" w:eastAsia="Arial" w:hAnsi="Arial" w:cs="Arial"/>
          <w:color w:val="000000"/>
          <w:sz w:val="20"/>
          <w:szCs w:val="20"/>
        </w:rPr>
      </w:pPr>
      <w:r w:rsidRPr="00B261D5">
        <w:rPr>
          <w:rFonts w:ascii="Arial" w:eastAsia="Arial" w:hAnsi="Arial" w:cs="Arial"/>
          <w:color w:val="000000"/>
          <w:sz w:val="20"/>
          <w:szCs w:val="20"/>
        </w:rPr>
        <w:t>Huebner, E. S., Funk, B. A., &amp; Gilman, R. (2000). Cross-sectional and Longitudinal Psychosocial Correlates of Adolescent Life Satisfaction Reports. Canadian Journal of School Psychology, 16(1), 53-64. https://doi.org/10.1177/082957350001600104</w:t>
      </w:r>
    </w:p>
    <w:p w:rsidR="00537A84" w:rsidRPr="00B261D5" w:rsidRDefault="00537A84" w:rsidP="00B261D5">
      <w:pPr>
        <w:spacing w:after="0"/>
        <w:ind w:left="567" w:hanging="567"/>
        <w:jc w:val="both"/>
        <w:rPr>
          <w:rFonts w:ascii="Arial" w:eastAsia="Arial" w:hAnsi="Arial" w:cs="Arial"/>
          <w:color w:val="000000"/>
          <w:sz w:val="20"/>
          <w:szCs w:val="20"/>
        </w:rPr>
      </w:pPr>
      <w:r w:rsidRPr="00B261D5">
        <w:rPr>
          <w:rFonts w:ascii="Arial" w:eastAsia="Arial" w:hAnsi="Arial" w:cs="Arial"/>
          <w:color w:val="000000"/>
          <w:sz w:val="20"/>
          <w:szCs w:val="20"/>
        </w:rPr>
        <w:t xml:space="preserve">Hvalby, L., Guldbrandsen, A., &amp; Fandrem, H. (2024). Life Skills in Compulsory Education: A Systematic Scoping Review. Education Sciences, 14(11). </w:t>
      </w:r>
    </w:p>
    <w:p w:rsidR="00537A84" w:rsidRPr="00B261D5" w:rsidRDefault="00537A84" w:rsidP="00B261D5">
      <w:pPr>
        <w:spacing w:after="0"/>
        <w:ind w:left="567" w:hanging="567"/>
        <w:jc w:val="both"/>
        <w:rPr>
          <w:rFonts w:ascii="Arial" w:eastAsia="Arial" w:hAnsi="Arial" w:cs="Arial"/>
          <w:color w:val="000000"/>
          <w:sz w:val="20"/>
          <w:szCs w:val="20"/>
        </w:rPr>
      </w:pPr>
      <w:r w:rsidRPr="00B261D5">
        <w:rPr>
          <w:rFonts w:ascii="Arial" w:eastAsia="Arial" w:hAnsi="Arial" w:cs="Arial"/>
          <w:color w:val="000000"/>
          <w:sz w:val="20"/>
          <w:szCs w:val="20"/>
        </w:rPr>
        <w:t xml:space="preserve">Ji, X., Zheng, S., Cheng, C., Hu, C., &amp; Cronin, L. (2022). Development and Psychometric Evaluation of the Chinese Version of the Life Skills Scale for Physical Education. International Journal of Environmental Research and Public Health, 19(13). </w:t>
      </w:r>
    </w:p>
    <w:p w:rsidR="00537A84" w:rsidRPr="00B261D5" w:rsidRDefault="00537A84" w:rsidP="00B261D5">
      <w:pPr>
        <w:spacing w:after="0"/>
        <w:ind w:left="567" w:hanging="567"/>
        <w:jc w:val="both"/>
        <w:rPr>
          <w:rFonts w:ascii="Arial" w:eastAsia="Arial" w:hAnsi="Arial" w:cs="Arial"/>
          <w:color w:val="000000"/>
          <w:sz w:val="20"/>
          <w:szCs w:val="20"/>
        </w:rPr>
      </w:pPr>
      <w:r w:rsidRPr="00B261D5">
        <w:rPr>
          <w:rFonts w:ascii="Arial" w:eastAsia="Arial" w:hAnsi="Arial" w:cs="Arial"/>
          <w:color w:val="000000"/>
          <w:sz w:val="20"/>
          <w:szCs w:val="20"/>
        </w:rPr>
        <w:t>Jiao, Q., &amp; Qi, X. (2025). Deep Learning-Based Visual Attention and Learning Behavior Analysis in Interactive Educational Technology. In ACM International Conference Proceeding Series (pp. 71-76). ACM.</w:t>
      </w:r>
    </w:p>
    <w:p w:rsidR="00537A84" w:rsidRPr="00B261D5" w:rsidRDefault="00537A84" w:rsidP="00B261D5">
      <w:pPr>
        <w:spacing w:after="0"/>
        <w:ind w:left="567" w:hanging="567"/>
        <w:jc w:val="both"/>
        <w:rPr>
          <w:rFonts w:ascii="Arial" w:eastAsia="Arial" w:hAnsi="Arial" w:cs="Arial"/>
          <w:color w:val="000000"/>
          <w:sz w:val="20"/>
          <w:szCs w:val="20"/>
        </w:rPr>
      </w:pPr>
      <w:r w:rsidRPr="00B261D5">
        <w:rPr>
          <w:rFonts w:ascii="Arial" w:eastAsia="Arial" w:hAnsi="Arial" w:cs="Arial"/>
          <w:color w:val="000000"/>
          <w:sz w:val="20"/>
          <w:szCs w:val="20"/>
        </w:rPr>
        <w:t xml:space="preserve">Jocham, T., &amp; Pohlmann-Rother, S. (2025). Measuring what matters: Developing indicators for online content evaluation competencies in elementary school. Frontiers in Education, 9. </w:t>
      </w:r>
    </w:p>
    <w:p w:rsidR="00537A84" w:rsidRPr="00B261D5" w:rsidRDefault="00537A84" w:rsidP="00B261D5">
      <w:pPr>
        <w:spacing w:after="0"/>
        <w:ind w:left="567" w:hanging="567"/>
        <w:jc w:val="both"/>
        <w:rPr>
          <w:rFonts w:ascii="Arial" w:eastAsia="Arial" w:hAnsi="Arial" w:cs="Arial"/>
          <w:color w:val="000000"/>
          <w:sz w:val="20"/>
          <w:szCs w:val="20"/>
        </w:rPr>
      </w:pPr>
      <w:r w:rsidRPr="00B261D5">
        <w:rPr>
          <w:rFonts w:ascii="Arial" w:eastAsia="Arial" w:hAnsi="Arial" w:cs="Arial"/>
          <w:color w:val="000000"/>
          <w:sz w:val="20"/>
          <w:szCs w:val="20"/>
        </w:rPr>
        <w:lastRenderedPageBreak/>
        <w:t>Kabutha Mugo, J. (2024). Implications of ALiVE Process and Evidence for Policy and Practice in East Africa. In Enabling Power of Assessment (pp. 379-394). Brill.</w:t>
      </w:r>
    </w:p>
    <w:p w:rsidR="00537A84" w:rsidRPr="00B261D5" w:rsidRDefault="00537A84" w:rsidP="00B261D5">
      <w:pPr>
        <w:spacing w:after="0"/>
        <w:ind w:left="567" w:hanging="567"/>
        <w:jc w:val="both"/>
        <w:rPr>
          <w:rFonts w:ascii="Arial" w:eastAsia="Arial" w:hAnsi="Arial" w:cs="Arial"/>
          <w:color w:val="000000"/>
          <w:sz w:val="20"/>
          <w:szCs w:val="20"/>
        </w:rPr>
      </w:pPr>
      <w:r w:rsidRPr="00B261D5">
        <w:rPr>
          <w:rFonts w:ascii="Arial" w:eastAsia="Arial" w:hAnsi="Arial" w:cs="Arial"/>
          <w:color w:val="000000"/>
          <w:sz w:val="20"/>
          <w:szCs w:val="20"/>
        </w:rPr>
        <w:t xml:space="preserve">Kadish, T. E., Glaser, B. A., Calhoun, G. B., &amp; Ginter, E. J. (2001). Identifying the developmental strengths of juvenile offenders: Assessing four life-skills dimensions. Journal of Addictions and Offender Counseling, 21(2), 85-95. </w:t>
      </w:r>
    </w:p>
    <w:p w:rsidR="00537A84" w:rsidRPr="00B261D5" w:rsidRDefault="00537A84" w:rsidP="00B261D5">
      <w:pPr>
        <w:spacing w:after="0"/>
        <w:ind w:left="567" w:hanging="567"/>
        <w:jc w:val="both"/>
        <w:rPr>
          <w:rFonts w:ascii="Arial" w:eastAsia="Arial" w:hAnsi="Arial" w:cs="Arial"/>
          <w:color w:val="000000"/>
          <w:sz w:val="20"/>
          <w:szCs w:val="20"/>
        </w:rPr>
      </w:pPr>
      <w:r w:rsidRPr="00B261D5">
        <w:rPr>
          <w:rFonts w:ascii="Arial" w:eastAsia="Arial" w:hAnsi="Arial" w:cs="Arial"/>
          <w:color w:val="000000"/>
          <w:sz w:val="20"/>
          <w:szCs w:val="20"/>
        </w:rPr>
        <w:t xml:space="preserve">Kallam, B., Pettitt-Schieber, C., Owen, M., Kwame Adu-Gyamfi, V., Adjei, K., Agyemang Asante, K., Baffoe, E., Brako, I., Dugle-Qartey, M., Enimil, A., Enimil, F., Haizel-Cobbinah, P., Hearn, K. M., Johnson, G. S., Konney, T. O., Owusu-Adjei, E., Spence, J., Sunkwa-Mills, O., Torpey, K., &amp; Ramaswamy, R. (2018). Implementation science in low-resource settings: Using the interactive systems framework to improve hand hygiene in a tertiary hospital in Ghana. International Journal for Quality in Health Care, 30(9), 724-730. </w:t>
      </w:r>
    </w:p>
    <w:p w:rsidR="00537A84" w:rsidRPr="00B261D5" w:rsidRDefault="00537A84" w:rsidP="00B261D5">
      <w:pPr>
        <w:spacing w:after="0"/>
        <w:ind w:left="567" w:hanging="567"/>
        <w:jc w:val="both"/>
        <w:rPr>
          <w:rFonts w:ascii="Arial" w:eastAsia="Arial" w:hAnsi="Arial" w:cs="Arial"/>
          <w:color w:val="000000"/>
          <w:sz w:val="20"/>
          <w:szCs w:val="20"/>
        </w:rPr>
      </w:pPr>
      <w:r w:rsidRPr="00B261D5">
        <w:rPr>
          <w:rFonts w:ascii="Arial" w:eastAsia="Arial" w:hAnsi="Arial" w:cs="Arial"/>
          <w:color w:val="000000"/>
          <w:sz w:val="20"/>
          <w:szCs w:val="20"/>
        </w:rPr>
        <w:t>Kanjee, A. (2018). Curriculum and policy reform impacts on teachers' assessment learning: A South African perspective. In Teacher Learning with Classroom Assessment: Perspectives from Asia Pacific (pp. 59-77). Springer.</w:t>
      </w:r>
    </w:p>
    <w:p w:rsidR="00537A84" w:rsidRPr="00B261D5" w:rsidRDefault="00537A84" w:rsidP="00B261D5">
      <w:pPr>
        <w:spacing w:after="0"/>
        <w:ind w:left="567" w:hanging="567"/>
        <w:jc w:val="both"/>
        <w:rPr>
          <w:rFonts w:ascii="Arial" w:eastAsia="Arial" w:hAnsi="Arial" w:cs="Arial"/>
          <w:color w:val="000000"/>
          <w:sz w:val="20"/>
          <w:szCs w:val="20"/>
        </w:rPr>
      </w:pPr>
      <w:r w:rsidRPr="00B261D5">
        <w:rPr>
          <w:rFonts w:ascii="Arial" w:eastAsia="Arial" w:hAnsi="Arial" w:cs="Arial"/>
          <w:color w:val="000000"/>
          <w:sz w:val="20"/>
          <w:szCs w:val="20"/>
        </w:rPr>
        <w:t xml:space="preserve">Kase, T., &amp; Endo, S. (2023). Cross-Cultural Validation of the Short Form of the Life Skills Scale for Adolescents and Adults in Adolescents in Four Countries. Journal of Psychoeducational Assessment, 41(2), 175-187. </w:t>
      </w:r>
    </w:p>
    <w:p w:rsidR="00537A84" w:rsidRPr="00B261D5" w:rsidRDefault="00537A84" w:rsidP="00B261D5">
      <w:pPr>
        <w:spacing w:after="0"/>
        <w:ind w:left="567" w:hanging="567"/>
        <w:jc w:val="both"/>
        <w:rPr>
          <w:rFonts w:ascii="Arial" w:eastAsia="Arial" w:hAnsi="Arial" w:cs="Arial"/>
          <w:color w:val="000000"/>
          <w:sz w:val="20"/>
          <w:szCs w:val="20"/>
        </w:rPr>
      </w:pPr>
      <w:r w:rsidRPr="00B261D5">
        <w:rPr>
          <w:rFonts w:ascii="Arial" w:eastAsia="Arial" w:hAnsi="Arial" w:cs="Arial"/>
          <w:color w:val="000000"/>
          <w:sz w:val="20"/>
          <w:szCs w:val="20"/>
        </w:rPr>
        <w:t xml:space="preserve">Kerdnaimongkol, U. (2025). Characteristics of Guidance Teachers in the 21st Century. Suranaree Journal of Social Science, 19(1), 192-205. </w:t>
      </w:r>
    </w:p>
    <w:p w:rsidR="00537A84" w:rsidRPr="00B261D5" w:rsidRDefault="00537A84" w:rsidP="00B261D5">
      <w:pPr>
        <w:spacing w:after="0"/>
        <w:ind w:left="567" w:hanging="567"/>
        <w:jc w:val="both"/>
        <w:rPr>
          <w:rFonts w:ascii="Arial" w:eastAsia="Arial" w:hAnsi="Arial" w:cs="Arial"/>
          <w:color w:val="000000"/>
          <w:sz w:val="20"/>
          <w:szCs w:val="20"/>
        </w:rPr>
      </w:pPr>
      <w:r w:rsidRPr="00B261D5">
        <w:rPr>
          <w:rFonts w:ascii="Arial" w:eastAsia="Arial" w:hAnsi="Arial" w:cs="Arial"/>
          <w:color w:val="000000"/>
          <w:sz w:val="20"/>
          <w:szCs w:val="20"/>
        </w:rPr>
        <w:t>Kesici, Ş. (2008). Sixth-, seventh, and eighth-grade students' guidance and counseling needs according to parents' views. Egitim Arastirmalari - Eurasian Journal of Educational Research, 32, 31-58.</w:t>
      </w:r>
    </w:p>
    <w:p w:rsidR="00537A84" w:rsidRPr="00B261D5" w:rsidRDefault="00537A84" w:rsidP="00B261D5">
      <w:pPr>
        <w:spacing w:after="0"/>
        <w:ind w:left="567" w:hanging="567"/>
        <w:jc w:val="both"/>
        <w:rPr>
          <w:rFonts w:ascii="Arial" w:eastAsia="Arial" w:hAnsi="Arial" w:cs="Arial"/>
          <w:color w:val="000000"/>
          <w:sz w:val="20"/>
          <w:szCs w:val="20"/>
        </w:rPr>
      </w:pPr>
      <w:r w:rsidRPr="00B261D5">
        <w:rPr>
          <w:rFonts w:ascii="Arial" w:eastAsia="Arial" w:hAnsi="Arial" w:cs="Arial"/>
          <w:color w:val="000000"/>
          <w:sz w:val="20"/>
          <w:szCs w:val="20"/>
        </w:rPr>
        <w:t xml:space="preserve">Khadka, J., Dahal, N., Hasan, M. K., Bista, B., &amp; Acharya, U. (2025). Practice and effectiveness of guidance and counseling in Nepali schools: Roles of learning strategy, self-management, and social skills. Frontiers in Education, 9. </w:t>
      </w:r>
    </w:p>
    <w:p w:rsidR="00537A84" w:rsidRPr="00B261D5" w:rsidRDefault="00537A84" w:rsidP="00B261D5">
      <w:pPr>
        <w:spacing w:after="0"/>
        <w:ind w:left="567" w:hanging="567"/>
        <w:jc w:val="both"/>
        <w:rPr>
          <w:rFonts w:ascii="Arial" w:eastAsia="Arial" w:hAnsi="Arial" w:cs="Arial"/>
          <w:color w:val="000000"/>
          <w:sz w:val="20"/>
          <w:szCs w:val="20"/>
        </w:rPr>
      </w:pPr>
      <w:r w:rsidRPr="00B261D5">
        <w:rPr>
          <w:rFonts w:ascii="Arial" w:eastAsia="Arial" w:hAnsi="Arial" w:cs="Arial"/>
          <w:color w:val="000000"/>
          <w:sz w:val="20"/>
          <w:szCs w:val="20"/>
        </w:rPr>
        <w:t xml:space="preserve">Kilian, J. M., &amp; Kilian, D. W. (2011). A school intervention to increase prosocial behavior and improve academic performance of at-risk students. Improving Schools, 14(1), 65-75. </w:t>
      </w:r>
    </w:p>
    <w:p w:rsidR="00537A84" w:rsidRPr="00B261D5" w:rsidRDefault="00537A84" w:rsidP="00B261D5">
      <w:pPr>
        <w:spacing w:after="0"/>
        <w:ind w:left="567" w:hanging="567"/>
        <w:jc w:val="both"/>
        <w:rPr>
          <w:rFonts w:ascii="Arial" w:eastAsia="Arial" w:hAnsi="Arial" w:cs="Arial"/>
          <w:color w:val="000000"/>
          <w:sz w:val="20"/>
          <w:szCs w:val="20"/>
        </w:rPr>
      </w:pPr>
      <w:r w:rsidRPr="00B261D5">
        <w:rPr>
          <w:rFonts w:ascii="Arial" w:eastAsia="Arial" w:hAnsi="Arial" w:cs="Arial"/>
          <w:color w:val="000000"/>
          <w:sz w:val="20"/>
          <w:szCs w:val="20"/>
        </w:rPr>
        <w:t xml:space="preserve">Kirova, A., &amp; Hennig, K. (2013). Culturally Responsive Assessment Practices: Examples from an Intercultural Multilingual Early Learning Program for Newcomer Children. Power and Education, 5(2), 106-119. </w:t>
      </w:r>
    </w:p>
    <w:p w:rsidR="00537A84" w:rsidRPr="00B261D5" w:rsidRDefault="00537A84" w:rsidP="00B261D5">
      <w:pPr>
        <w:spacing w:after="0"/>
        <w:ind w:left="567" w:hanging="567"/>
        <w:jc w:val="both"/>
        <w:rPr>
          <w:rFonts w:ascii="Arial" w:eastAsia="Arial" w:hAnsi="Arial" w:cs="Arial"/>
          <w:color w:val="000000"/>
          <w:sz w:val="20"/>
          <w:szCs w:val="20"/>
        </w:rPr>
      </w:pPr>
      <w:r w:rsidRPr="00B261D5">
        <w:rPr>
          <w:rFonts w:ascii="Arial" w:eastAsia="Arial" w:hAnsi="Arial" w:cs="Arial"/>
          <w:color w:val="000000"/>
          <w:sz w:val="20"/>
          <w:szCs w:val="20"/>
        </w:rPr>
        <w:t xml:space="preserve">Kobayashi, M., Gushiken, T., Ganaha, Y., Ishikawa, H., Yamaguchi, H., &amp; Takakura, M. (2013). Reliability and validity of the multidimensional scale of life skills in late childhood. Education Sciences, 3(3), 294-310. </w:t>
      </w:r>
    </w:p>
    <w:p w:rsidR="00537A84" w:rsidRPr="00B261D5" w:rsidRDefault="00537A84" w:rsidP="00B261D5">
      <w:pPr>
        <w:spacing w:after="0"/>
        <w:ind w:left="567" w:hanging="567"/>
        <w:jc w:val="both"/>
        <w:rPr>
          <w:rFonts w:ascii="Arial" w:eastAsia="Arial" w:hAnsi="Arial" w:cs="Arial"/>
          <w:color w:val="000000"/>
          <w:sz w:val="20"/>
          <w:szCs w:val="20"/>
        </w:rPr>
      </w:pPr>
      <w:r w:rsidRPr="00B261D5">
        <w:rPr>
          <w:rFonts w:ascii="Arial" w:eastAsia="Arial" w:hAnsi="Arial" w:cs="Arial"/>
          <w:color w:val="000000"/>
          <w:sz w:val="20"/>
          <w:szCs w:val="20"/>
        </w:rPr>
        <w:t xml:space="preserve">Kohrt, B. A., Jordans, M. J. D., Tol, W. A., Speckman, R. A., Maharjan, S. M., Worthman, C. M., &amp; Upadhaya, N. (2011). Validation of cross-cultural child mental health and psychosocial research instruments: Adapting the Depression Self-Rating Scale and Child PTSD Symptom Scale in Nepal. BMC Psychiatry, 11. </w:t>
      </w:r>
    </w:p>
    <w:p w:rsidR="00537A84" w:rsidRPr="00B261D5" w:rsidRDefault="00537A84" w:rsidP="00B261D5">
      <w:pPr>
        <w:spacing w:after="0"/>
        <w:ind w:left="567" w:hanging="567"/>
        <w:jc w:val="both"/>
        <w:rPr>
          <w:rFonts w:ascii="Arial" w:eastAsia="Arial" w:hAnsi="Arial" w:cs="Arial"/>
          <w:color w:val="000000"/>
          <w:sz w:val="20"/>
          <w:szCs w:val="20"/>
        </w:rPr>
      </w:pPr>
      <w:r w:rsidRPr="00B261D5">
        <w:rPr>
          <w:rFonts w:ascii="Arial" w:eastAsia="Arial" w:hAnsi="Arial" w:cs="Arial"/>
          <w:color w:val="000000"/>
          <w:sz w:val="20"/>
          <w:szCs w:val="20"/>
        </w:rPr>
        <w:t xml:space="preserve">Kusi-Mensah, K., Nuamah, N. D., Wemakor, S., Russell, C., Audu, M. O., Adjei, P. O., Twum, A. K., Danquah, A. O., Nuertey, D. N. A., Kwofie-Danso, E. M. Y., Anum, A., Setrana, M. S., Sarfo, J. O., Asante, K. O., Bello, T., Opoku, M. P., Alhassan, A., Mudiare, P. U., Odole, A. C., &amp; Bateman, A. (2022). A Systematic Review of the Validity and Reliability of Assessment Tools for Executive Function and Adaptive Function Following Brain Pathology among Children and Adolescents in Low- and Middle-Income Countries. Neuropsychology Review, 32(3), 593-617. </w:t>
      </w:r>
    </w:p>
    <w:p w:rsidR="00537A84" w:rsidRPr="00B261D5" w:rsidRDefault="00537A84" w:rsidP="00B261D5">
      <w:pPr>
        <w:spacing w:after="0"/>
        <w:ind w:left="567" w:hanging="567"/>
        <w:jc w:val="both"/>
        <w:rPr>
          <w:rFonts w:ascii="Arial" w:eastAsia="Arial" w:hAnsi="Arial" w:cs="Arial"/>
          <w:color w:val="000000"/>
          <w:sz w:val="20"/>
          <w:szCs w:val="20"/>
        </w:rPr>
      </w:pPr>
      <w:r w:rsidRPr="00B261D5">
        <w:rPr>
          <w:rFonts w:ascii="Arial" w:eastAsia="Arial" w:hAnsi="Arial" w:cs="Arial"/>
          <w:color w:val="000000"/>
          <w:sz w:val="20"/>
          <w:szCs w:val="20"/>
        </w:rPr>
        <w:lastRenderedPageBreak/>
        <w:t xml:space="preserve">Lim, T.-H., Kwon, O.-J., Yang, Y.-K., Park, M., &amp; Bae, J.-S. (2019). Validation of the Korean Life Skills Scale for Sport (KLSSS). Korean Journal of Sport Science, 30(3), 565-578. </w:t>
      </w:r>
    </w:p>
    <w:p w:rsidR="00537A84" w:rsidRPr="00B261D5" w:rsidRDefault="00537A84" w:rsidP="00B261D5">
      <w:pPr>
        <w:spacing w:after="0"/>
        <w:ind w:left="567" w:hanging="567"/>
        <w:jc w:val="both"/>
        <w:rPr>
          <w:rFonts w:ascii="Arial" w:eastAsia="Arial" w:hAnsi="Arial" w:cs="Arial"/>
          <w:color w:val="000000"/>
          <w:sz w:val="20"/>
          <w:szCs w:val="20"/>
        </w:rPr>
      </w:pPr>
      <w:r w:rsidRPr="00B261D5">
        <w:rPr>
          <w:rFonts w:ascii="Arial" w:eastAsia="Arial" w:hAnsi="Arial" w:cs="Arial"/>
          <w:color w:val="000000"/>
          <w:sz w:val="20"/>
          <w:szCs w:val="20"/>
        </w:rPr>
        <w:t xml:space="preserve">Maddah, D., Hallit, S., Kabbara, W., Sacre, H., Kheir, N., Akel, M., Obeid, S., &amp; Salameh, P. (2023). Validation of the first Arabic version of the life skills scale among university students. Cogent Education, 10(1). </w:t>
      </w:r>
    </w:p>
    <w:p w:rsidR="00537A84" w:rsidRPr="00B261D5" w:rsidRDefault="00537A84" w:rsidP="00B261D5">
      <w:pPr>
        <w:spacing w:after="0"/>
        <w:ind w:left="567" w:hanging="567"/>
        <w:jc w:val="both"/>
        <w:rPr>
          <w:rFonts w:ascii="Arial" w:eastAsia="Arial" w:hAnsi="Arial" w:cs="Arial"/>
          <w:color w:val="000000"/>
          <w:sz w:val="20"/>
          <w:szCs w:val="20"/>
        </w:rPr>
      </w:pPr>
      <w:r w:rsidRPr="00B261D5">
        <w:rPr>
          <w:rFonts w:ascii="Arial" w:eastAsia="Arial" w:hAnsi="Arial" w:cs="Arial"/>
          <w:color w:val="000000"/>
          <w:sz w:val="20"/>
          <w:szCs w:val="20"/>
        </w:rPr>
        <w:t>Maki, P. L. (2023). Leveraging technology-enabled assessment capabilities to promote equitable student outcomes. In Reframing Assessment to Center Equity: Theories, Models, and Practices (pp. 223-244). Stylus Publishing.</w:t>
      </w:r>
    </w:p>
    <w:p w:rsidR="00537A84" w:rsidRPr="00B261D5" w:rsidRDefault="00537A84" w:rsidP="00B261D5">
      <w:pPr>
        <w:spacing w:after="0"/>
        <w:ind w:left="567" w:hanging="567"/>
        <w:jc w:val="both"/>
        <w:rPr>
          <w:rFonts w:ascii="Arial" w:eastAsia="Arial" w:hAnsi="Arial" w:cs="Arial"/>
          <w:color w:val="000000"/>
          <w:sz w:val="20"/>
          <w:szCs w:val="20"/>
        </w:rPr>
      </w:pPr>
      <w:r w:rsidRPr="00B261D5">
        <w:rPr>
          <w:rFonts w:ascii="Arial" w:eastAsia="Arial" w:hAnsi="Arial" w:cs="Arial"/>
          <w:color w:val="000000"/>
          <w:sz w:val="20"/>
          <w:szCs w:val="20"/>
        </w:rPr>
        <w:t xml:space="preserve">Manohara, S. K. R., Virupaksha, H. G., Jangam, K. V., Razdan, R., &amp; Sharma, E. (2025). Gender, Sexuality, and Personal Safety Sensitization for School-going Children and Adolescents: Kannada Adaptation and Validation of the Program Manuals. Indian Journal of Social Psychiatry, 41(1), 11-16. </w:t>
      </w:r>
    </w:p>
    <w:p w:rsidR="00537A84" w:rsidRPr="00B261D5" w:rsidRDefault="00537A84" w:rsidP="00B261D5">
      <w:pPr>
        <w:spacing w:after="0"/>
        <w:ind w:left="567" w:hanging="567"/>
        <w:jc w:val="both"/>
        <w:rPr>
          <w:rFonts w:ascii="Arial" w:eastAsia="Arial" w:hAnsi="Arial" w:cs="Arial"/>
          <w:color w:val="000000"/>
          <w:sz w:val="20"/>
          <w:szCs w:val="20"/>
        </w:rPr>
      </w:pPr>
      <w:r w:rsidRPr="00B261D5">
        <w:rPr>
          <w:rFonts w:ascii="Arial" w:eastAsia="Arial" w:hAnsi="Arial" w:cs="Arial"/>
          <w:color w:val="000000"/>
          <w:sz w:val="20"/>
          <w:szCs w:val="20"/>
        </w:rPr>
        <w:t xml:space="preserve">Martinez-Yarza, N., Santibáñez, R., &amp; Solabarrieta, J. (2023). A Systematic Review of Instruments Measuring Social and Emotional Skills in School-Aged Children and Adolescents. Child Indicators Research, 16(4), 1497-1528. </w:t>
      </w:r>
    </w:p>
    <w:p w:rsidR="00537A84" w:rsidRPr="00B261D5" w:rsidRDefault="00537A84" w:rsidP="00B261D5">
      <w:pPr>
        <w:spacing w:after="0"/>
        <w:ind w:left="567" w:hanging="567"/>
        <w:jc w:val="both"/>
        <w:rPr>
          <w:rFonts w:ascii="Arial" w:eastAsia="Arial" w:hAnsi="Arial" w:cs="Arial"/>
          <w:color w:val="000000"/>
          <w:sz w:val="20"/>
          <w:szCs w:val="20"/>
        </w:rPr>
      </w:pPr>
      <w:r w:rsidRPr="00B261D5">
        <w:rPr>
          <w:rFonts w:ascii="Arial" w:eastAsia="Arial" w:hAnsi="Arial" w:cs="Arial"/>
          <w:color w:val="000000"/>
          <w:sz w:val="20"/>
          <w:szCs w:val="20"/>
        </w:rPr>
        <w:t xml:space="preserve">Maruska, K., Morgenstern, M., Isensee, B., &amp; Hanewinkel, R. (2010). Influencing antecedents of adolescent risk-taking behaviour in elementary school: Results of a 4-year quasi-experimental controlled trial. Health Education Research, 25(6), 1048-1058. </w:t>
      </w:r>
    </w:p>
    <w:p w:rsidR="00537A84" w:rsidRPr="00B261D5" w:rsidRDefault="00537A84" w:rsidP="00B261D5">
      <w:pPr>
        <w:spacing w:after="0"/>
        <w:ind w:left="567" w:hanging="567"/>
        <w:jc w:val="both"/>
        <w:rPr>
          <w:rFonts w:ascii="Arial" w:eastAsia="Arial" w:hAnsi="Arial" w:cs="Arial"/>
          <w:color w:val="000000"/>
          <w:sz w:val="20"/>
          <w:szCs w:val="20"/>
        </w:rPr>
      </w:pPr>
      <w:r w:rsidRPr="00B261D5">
        <w:rPr>
          <w:rFonts w:ascii="Arial" w:eastAsia="Arial" w:hAnsi="Arial" w:cs="Arial"/>
          <w:color w:val="000000"/>
          <w:sz w:val="20"/>
          <w:szCs w:val="20"/>
        </w:rPr>
        <w:t xml:space="preserve">McHenry, M. S., Roose, A., Abuonji, E., Kamire, V., Wesonga, S., Jao, I., Abuogi, L., Barnes-Josiah, D., Wagner, A., Hoddinott, G., Kinuthia, J., Oyiengo, L., Nyandiko, W., &amp; Kaat, A. J. (2023). A psychometric evaluation of the NIH Toolbox fluid cognition tests adapted for Swahili and Dholuo languages in Kenyan children and adolescents. Journal of the International Neuropsychological Society, 29(10), 965-974. </w:t>
      </w:r>
    </w:p>
    <w:p w:rsidR="00537A84" w:rsidRPr="00B261D5" w:rsidRDefault="00537A84" w:rsidP="00B261D5">
      <w:pPr>
        <w:spacing w:after="0"/>
        <w:ind w:left="567" w:hanging="567"/>
        <w:jc w:val="both"/>
        <w:rPr>
          <w:rFonts w:ascii="Arial" w:eastAsia="Arial" w:hAnsi="Arial" w:cs="Arial"/>
          <w:color w:val="000000"/>
          <w:sz w:val="20"/>
          <w:szCs w:val="20"/>
        </w:rPr>
      </w:pPr>
      <w:r w:rsidRPr="00B261D5">
        <w:rPr>
          <w:rFonts w:ascii="Arial" w:eastAsia="Arial" w:hAnsi="Arial" w:cs="Arial"/>
          <w:color w:val="000000"/>
          <w:sz w:val="20"/>
          <w:szCs w:val="20"/>
        </w:rPr>
        <w:t>Meuleman, B. (2012). When are item intercept differences substantively relevant in measurement invariance testing? In Methods, Theories, and Empirical Applications in the Social Sciences (pp. 97-104). VS Verlag für Sozialwissenschaften.</w:t>
      </w:r>
    </w:p>
    <w:p w:rsidR="00537A84" w:rsidRPr="00B261D5" w:rsidRDefault="00537A84" w:rsidP="00B261D5">
      <w:pPr>
        <w:spacing w:after="0"/>
        <w:ind w:left="567" w:hanging="567"/>
        <w:jc w:val="both"/>
        <w:rPr>
          <w:rFonts w:ascii="Arial" w:eastAsia="Arial" w:hAnsi="Arial" w:cs="Arial"/>
          <w:color w:val="000000"/>
          <w:sz w:val="20"/>
          <w:szCs w:val="20"/>
        </w:rPr>
      </w:pPr>
      <w:r w:rsidRPr="00B261D5">
        <w:rPr>
          <w:rFonts w:ascii="Arial" w:eastAsia="Arial" w:hAnsi="Arial" w:cs="Arial"/>
          <w:color w:val="000000"/>
          <w:sz w:val="20"/>
          <w:szCs w:val="20"/>
        </w:rPr>
        <w:t xml:space="preserve">Montoya-Fernández, C., Losada-Puente, L., Gómez-Barreto, I. M., &amp; Gil-Madrona, P. (2024). Developmental play-based assessment in early childhood education: A systematic review. European Early Childhood Education Research Journal, 32(1), 164-184. </w:t>
      </w:r>
    </w:p>
    <w:p w:rsidR="00537A84" w:rsidRPr="00B261D5" w:rsidRDefault="00537A84" w:rsidP="00B261D5">
      <w:pPr>
        <w:spacing w:after="0"/>
        <w:ind w:left="567" w:hanging="567"/>
        <w:jc w:val="both"/>
        <w:rPr>
          <w:rFonts w:ascii="Arial" w:eastAsia="Arial" w:hAnsi="Arial" w:cs="Arial"/>
          <w:color w:val="000000"/>
          <w:sz w:val="20"/>
          <w:szCs w:val="20"/>
        </w:rPr>
      </w:pPr>
      <w:r w:rsidRPr="00B261D5">
        <w:rPr>
          <w:rFonts w:ascii="Arial" w:eastAsia="Arial" w:hAnsi="Arial" w:cs="Arial"/>
          <w:color w:val="000000"/>
          <w:sz w:val="20"/>
          <w:szCs w:val="20"/>
        </w:rPr>
        <w:t xml:space="preserve">Mossman, G. J., Robertson, C., Williamson, B., &amp; Cronin, L. (2021). Development and initial validation of the Life Skills Scale for Sport – Transfer Scale (LSSS-TS). Psychology of Sport and Exercise, 54. </w:t>
      </w:r>
    </w:p>
    <w:p w:rsidR="00537A84" w:rsidRPr="00B261D5" w:rsidRDefault="00537A84" w:rsidP="00B261D5">
      <w:pPr>
        <w:spacing w:after="0"/>
        <w:ind w:left="567" w:hanging="567"/>
        <w:jc w:val="both"/>
        <w:rPr>
          <w:rFonts w:ascii="Arial" w:eastAsia="Arial" w:hAnsi="Arial" w:cs="Arial"/>
          <w:color w:val="000000"/>
          <w:sz w:val="20"/>
          <w:szCs w:val="20"/>
        </w:rPr>
      </w:pPr>
      <w:r w:rsidRPr="00B261D5">
        <w:rPr>
          <w:rFonts w:ascii="Arial" w:eastAsia="Arial" w:hAnsi="Arial" w:cs="Arial"/>
          <w:color w:val="000000"/>
          <w:sz w:val="20"/>
          <w:szCs w:val="20"/>
        </w:rPr>
        <w:t>Mutweleli, S., Mwathe, G., &amp; Mundi, S. (2024). Scenario-Based Assessments: Experience from East Africa. In Enabling Power of Assessment (pp. 291-306). Brill.</w:t>
      </w:r>
    </w:p>
    <w:p w:rsidR="00537A84" w:rsidRPr="00B261D5" w:rsidRDefault="00537A84" w:rsidP="00B261D5">
      <w:pPr>
        <w:spacing w:after="0"/>
        <w:ind w:left="567" w:hanging="567"/>
        <w:jc w:val="both"/>
        <w:rPr>
          <w:rFonts w:ascii="Arial" w:eastAsia="Arial" w:hAnsi="Arial" w:cs="Arial"/>
          <w:color w:val="000000"/>
          <w:sz w:val="20"/>
          <w:szCs w:val="20"/>
        </w:rPr>
      </w:pPr>
      <w:r w:rsidRPr="00B261D5">
        <w:rPr>
          <w:rFonts w:ascii="Arial" w:eastAsia="Arial" w:hAnsi="Arial" w:cs="Arial"/>
          <w:color w:val="000000"/>
          <w:sz w:val="20"/>
          <w:szCs w:val="20"/>
        </w:rPr>
        <w:t>Nakabugo, M. G., Madanda, B., &amp; Kaburu, A. (2024). Opportunities and Challenges in Household-Based Assessment of Life Skills. In Enabling Power of Assessment (pp. 325-344). Brill.</w:t>
      </w:r>
    </w:p>
    <w:p w:rsidR="00537A84" w:rsidRPr="00B261D5" w:rsidRDefault="00537A84" w:rsidP="00B261D5">
      <w:pPr>
        <w:spacing w:after="0"/>
        <w:ind w:left="567" w:hanging="567"/>
        <w:jc w:val="both"/>
        <w:rPr>
          <w:rFonts w:ascii="Arial" w:eastAsia="Arial" w:hAnsi="Arial" w:cs="Arial"/>
          <w:color w:val="000000"/>
          <w:sz w:val="20"/>
          <w:szCs w:val="20"/>
        </w:rPr>
      </w:pPr>
      <w:r w:rsidRPr="00B261D5">
        <w:rPr>
          <w:rFonts w:ascii="Arial" w:eastAsia="Arial" w:hAnsi="Arial" w:cs="Arial"/>
          <w:color w:val="000000"/>
          <w:sz w:val="20"/>
          <w:szCs w:val="20"/>
        </w:rPr>
        <w:t>Nansubuga, F., Ariapa, M., Baluku, M., &amp; Kim, H. (2024). Approaches to Assessment of Twenty-First Century Skills in East Africa. In Enabling Power of Assessment (pp. 273-290). Brill.</w:t>
      </w:r>
    </w:p>
    <w:p w:rsidR="00537A84" w:rsidRPr="00B261D5" w:rsidRDefault="00537A84" w:rsidP="00B261D5">
      <w:pPr>
        <w:spacing w:after="0"/>
        <w:ind w:left="567" w:hanging="567"/>
        <w:jc w:val="both"/>
        <w:rPr>
          <w:rFonts w:ascii="Arial" w:eastAsia="Arial" w:hAnsi="Arial" w:cs="Arial"/>
          <w:color w:val="000000"/>
          <w:sz w:val="20"/>
          <w:szCs w:val="20"/>
        </w:rPr>
      </w:pPr>
      <w:r w:rsidRPr="00B261D5">
        <w:rPr>
          <w:rFonts w:ascii="Arial" w:eastAsia="Arial" w:hAnsi="Arial" w:cs="Arial"/>
          <w:color w:val="000000"/>
          <w:sz w:val="20"/>
          <w:szCs w:val="20"/>
        </w:rPr>
        <w:t xml:space="preserve">Nasheeda, A., Abdullah, H. B., Krauss, S. E., &amp; Ahmed, N. B. (2019). A narrative systematic review of life skills education: Effectiveness, research gaps and priorities. International Journal of Adolescence and Youth, 24(3), 362-379. </w:t>
      </w:r>
    </w:p>
    <w:p w:rsidR="00537A84" w:rsidRPr="00B261D5" w:rsidRDefault="00537A84" w:rsidP="00B261D5">
      <w:pPr>
        <w:spacing w:after="0"/>
        <w:ind w:left="567" w:hanging="567"/>
        <w:jc w:val="both"/>
        <w:rPr>
          <w:rFonts w:ascii="Arial" w:eastAsia="Arial" w:hAnsi="Arial" w:cs="Arial"/>
          <w:color w:val="000000"/>
          <w:sz w:val="20"/>
          <w:szCs w:val="20"/>
        </w:rPr>
      </w:pPr>
      <w:r w:rsidRPr="00B261D5">
        <w:rPr>
          <w:rFonts w:ascii="Arial" w:eastAsia="Arial" w:hAnsi="Arial" w:cs="Arial"/>
          <w:color w:val="000000"/>
          <w:sz w:val="20"/>
          <w:szCs w:val="20"/>
        </w:rPr>
        <w:lastRenderedPageBreak/>
        <w:t>Nathan, S. S., Berahim, M., &amp; Ramle, R. (2017). Rubric for measuring psychomotor and affective learning domain. Pertanika Journal of Social Sciences and Humanities, 25(S), 271-280.</w:t>
      </w:r>
    </w:p>
    <w:p w:rsidR="00537A84" w:rsidRPr="00B261D5" w:rsidRDefault="00537A84" w:rsidP="00B261D5">
      <w:pPr>
        <w:spacing w:after="0"/>
        <w:ind w:left="567" w:hanging="567"/>
        <w:jc w:val="both"/>
        <w:rPr>
          <w:rFonts w:ascii="Arial" w:eastAsia="Arial" w:hAnsi="Arial" w:cs="Arial"/>
          <w:color w:val="000000"/>
          <w:sz w:val="20"/>
          <w:szCs w:val="20"/>
        </w:rPr>
      </w:pPr>
      <w:r w:rsidRPr="00B261D5">
        <w:rPr>
          <w:rFonts w:ascii="Arial" w:eastAsia="Arial" w:hAnsi="Arial" w:cs="Arial"/>
          <w:color w:val="000000"/>
          <w:sz w:val="20"/>
          <w:szCs w:val="20"/>
        </w:rPr>
        <w:t>Ndetei, D. M., Mutiso, V., Gitonga, I., Agudile, E., Tele, A., Birech, L., Musyimi, C., Tomita, A., Saxena, S., Yasamy, M. T., Nandoya, E. S., &amp; McKenzie, K. (2019). World Health Organization life-skills training is efficacious in reducing youth self-report scores in primary school going children in Kenya. Early Intervention in Psychiatry, 13(1), 121-131.</w:t>
      </w:r>
    </w:p>
    <w:p w:rsidR="00537A84" w:rsidRPr="00B261D5" w:rsidRDefault="00537A84" w:rsidP="00B261D5">
      <w:pPr>
        <w:spacing w:after="0"/>
        <w:ind w:left="567" w:hanging="567"/>
        <w:jc w:val="both"/>
        <w:rPr>
          <w:rFonts w:ascii="Arial" w:eastAsia="Arial" w:hAnsi="Arial" w:cs="Arial"/>
          <w:color w:val="000000"/>
          <w:sz w:val="20"/>
          <w:szCs w:val="20"/>
        </w:rPr>
      </w:pPr>
      <w:r w:rsidRPr="00B261D5">
        <w:rPr>
          <w:rFonts w:ascii="Arial" w:eastAsia="Arial" w:hAnsi="Arial" w:cs="Arial"/>
          <w:color w:val="000000"/>
          <w:sz w:val="20"/>
          <w:szCs w:val="20"/>
        </w:rPr>
        <w:t>Nyongesa, V., Kathono, J., Mwaniga, S., Odhiambo, R., Wamai, K., Muruga, M., Mutisya, J., Kabue, M., Mwangi, P., Koot, H. M., Abubakar, A., &amp; Kumar, M. (2022). Cultural and contextual adaptation of mental health measures in Kenya: An adolescent-centered transcultural adaptation of measures study. PLoS ONE, 17(12). https://doi.org/10.1371/journal.pone.0278086</w:t>
      </w:r>
    </w:p>
    <w:p w:rsidR="00537A84" w:rsidRPr="00B261D5" w:rsidRDefault="00537A84" w:rsidP="00B261D5">
      <w:pPr>
        <w:spacing w:after="0"/>
        <w:ind w:left="567" w:hanging="567"/>
        <w:jc w:val="both"/>
        <w:rPr>
          <w:rFonts w:ascii="Arial" w:eastAsia="Arial" w:hAnsi="Arial" w:cs="Arial"/>
          <w:color w:val="000000"/>
          <w:sz w:val="20"/>
          <w:szCs w:val="20"/>
        </w:rPr>
      </w:pPr>
      <w:r w:rsidRPr="00B261D5">
        <w:rPr>
          <w:rFonts w:ascii="Arial" w:eastAsia="Arial" w:hAnsi="Arial" w:cs="Arial"/>
          <w:color w:val="000000"/>
          <w:sz w:val="20"/>
          <w:szCs w:val="20"/>
        </w:rPr>
        <w:t xml:space="preserve">Oakley, G., Wildy, H., &amp; Berman, Y. (2020). Multimodal digital text creation using tablets and open-ended creative apps to improve the literacy learning of children in early childhood classrooms. Journal of Early Childhood Literacy, 20(4), 655-679. </w:t>
      </w:r>
    </w:p>
    <w:p w:rsidR="00537A84" w:rsidRPr="00B261D5" w:rsidRDefault="00537A84" w:rsidP="00B261D5">
      <w:pPr>
        <w:spacing w:after="0"/>
        <w:ind w:left="567" w:hanging="567"/>
        <w:jc w:val="both"/>
        <w:rPr>
          <w:rFonts w:ascii="Arial" w:eastAsia="Arial" w:hAnsi="Arial" w:cs="Arial"/>
          <w:color w:val="000000"/>
          <w:sz w:val="20"/>
          <w:szCs w:val="20"/>
        </w:rPr>
      </w:pPr>
      <w:r w:rsidRPr="00B261D5">
        <w:rPr>
          <w:rFonts w:ascii="Arial" w:eastAsia="Arial" w:hAnsi="Arial" w:cs="Arial"/>
          <w:color w:val="000000"/>
          <w:sz w:val="20"/>
          <w:szCs w:val="20"/>
        </w:rPr>
        <w:t xml:space="preserve">Oktaviana, D., Purwoko, B., Naqiyah, N., Kusumaningrum, D. E., &amp; Prahani, B. K. (2026). Development of an evaluation instrument for career guidance programs using the goal attainment framework. Multidisciplinary Reviews, 9(1). </w:t>
      </w:r>
    </w:p>
    <w:p w:rsidR="00537A84" w:rsidRPr="00B261D5" w:rsidRDefault="00537A84" w:rsidP="00B261D5">
      <w:pPr>
        <w:spacing w:after="0"/>
        <w:ind w:left="567" w:hanging="567"/>
        <w:jc w:val="both"/>
        <w:rPr>
          <w:rFonts w:ascii="Arial" w:eastAsia="Arial" w:hAnsi="Arial" w:cs="Arial"/>
          <w:color w:val="000000"/>
          <w:sz w:val="20"/>
          <w:szCs w:val="20"/>
        </w:rPr>
      </w:pPr>
      <w:r w:rsidRPr="00B261D5">
        <w:rPr>
          <w:rFonts w:ascii="Arial" w:eastAsia="Arial" w:hAnsi="Arial" w:cs="Arial"/>
          <w:color w:val="000000"/>
          <w:sz w:val="20"/>
          <w:szCs w:val="20"/>
        </w:rPr>
        <w:t xml:space="preserve">Ortiz-Rodríguez, V., Vergara-Torres, A. P., Ramírez-Nava, R., Medina-Rodríguez, R. E., &amp; Tristán, J. (2024). Life skills in pre-service physical education teachers and pre-service sports coaches: A study under Self-Determination Theory. Sportis: Scientific Technical Journal of School Sport, Physical Education and Psychomotricity, 10(3), 407-431. </w:t>
      </w:r>
    </w:p>
    <w:p w:rsidR="00537A84" w:rsidRPr="00B261D5" w:rsidRDefault="00537A84" w:rsidP="00B261D5">
      <w:pPr>
        <w:spacing w:after="0"/>
        <w:ind w:left="567" w:hanging="567"/>
        <w:jc w:val="both"/>
        <w:rPr>
          <w:rFonts w:ascii="Arial" w:eastAsia="Arial" w:hAnsi="Arial" w:cs="Arial"/>
          <w:color w:val="000000"/>
          <w:sz w:val="20"/>
          <w:szCs w:val="20"/>
        </w:rPr>
      </w:pPr>
      <w:r w:rsidRPr="00B261D5">
        <w:rPr>
          <w:rFonts w:ascii="Arial" w:eastAsia="Arial" w:hAnsi="Arial" w:cs="Arial"/>
          <w:color w:val="000000"/>
          <w:sz w:val="20"/>
          <w:szCs w:val="20"/>
        </w:rPr>
        <w:t xml:space="preserve">Pacewicz, C. E., Hill, C. R., Chun, H., &amp; Myers, N. D. (2024). Confirmatory Factor Analysis in Kinesiology Journals with Explicit Measurement Focus. Measurement in Physical Education and Exercise Science, 28(1), 66-81. </w:t>
      </w:r>
    </w:p>
    <w:p w:rsidR="00537A84" w:rsidRPr="00B261D5" w:rsidRDefault="00537A84" w:rsidP="00B261D5">
      <w:pPr>
        <w:spacing w:after="0"/>
        <w:ind w:left="567" w:hanging="567"/>
        <w:jc w:val="both"/>
        <w:rPr>
          <w:rFonts w:ascii="Arial" w:eastAsia="Arial" w:hAnsi="Arial" w:cs="Arial"/>
          <w:color w:val="000000"/>
          <w:sz w:val="20"/>
          <w:szCs w:val="20"/>
        </w:rPr>
      </w:pPr>
      <w:r w:rsidRPr="00B261D5">
        <w:rPr>
          <w:rFonts w:ascii="Arial" w:eastAsia="Arial" w:hAnsi="Arial" w:cs="Arial"/>
          <w:color w:val="000000"/>
          <w:sz w:val="20"/>
          <w:szCs w:val="20"/>
        </w:rPr>
        <w:t>Pan, Y.-H., Huang, C.-H., Chang, Y.-Y., Chen, T.-Y., Lin, Z.-R., &amp; Hsu, W.-T. (2025). Construction and validation of the Life Skills Scale of Physical Education for adolescents. International Journal of Sport and Exercise Psychology, 23(1), 136-159. https://doi.org/10.1080/1612197X.2024.2306103</w:t>
      </w:r>
    </w:p>
    <w:p w:rsidR="00537A84" w:rsidRPr="00B261D5" w:rsidRDefault="00537A84" w:rsidP="00B261D5">
      <w:pPr>
        <w:spacing w:after="0"/>
        <w:ind w:left="567" w:hanging="567"/>
        <w:jc w:val="both"/>
        <w:rPr>
          <w:rFonts w:ascii="Arial" w:eastAsia="Arial" w:hAnsi="Arial" w:cs="Arial"/>
          <w:color w:val="000000"/>
          <w:sz w:val="20"/>
          <w:szCs w:val="20"/>
        </w:rPr>
      </w:pPr>
      <w:r w:rsidRPr="00B261D5">
        <w:rPr>
          <w:rFonts w:ascii="Arial" w:eastAsia="Arial" w:hAnsi="Arial" w:cs="Arial"/>
          <w:color w:val="000000"/>
          <w:sz w:val="20"/>
          <w:szCs w:val="20"/>
        </w:rPr>
        <w:t xml:space="preserve">Pedersen, J. A., Worrell, F. C., &amp; French, J. L. (2001). Reliability of the social skills rating system with rural appalachian children from families with low incomes. Journal of Psychoeducational Assessment, 19(1), 45-53. </w:t>
      </w:r>
    </w:p>
    <w:p w:rsidR="00537A84" w:rsidRPr="00B261D5" w:rsidRDefault="00537A84" w:rsidP="00B261D5">
      <w:pPr>
        <w:spacing w:after="0"/>
        <w:ind w:left="567" w:hanging="567"/>
        <w:jc w:val="both"/>
        <w:rPr>
          <w:rFonts w:ascii="Arial" w:eastAsia="Arial" w:hAnsi="Arial" w:cs="Arial"/>
          <w:color w:val="000000"/>
          <w:sz w:val="20"/>
          <w:szCs w:val="20"/>
        </w:rPr>
      </w:pPr>
      <w:r w:rsidRPr="00B261D5">
        <w:rPr>
          <w:rFonts w:ascii="Arial" w:eastAsia="Arial" w:hAnsi="Arial" w:cs="Arial"/>
          <w:color w:val="000000"/>
          <w:sz w:val="20"/>
          <w:szCs w:val="20"/>
        </w:rPr>
        <w:t xml:space="preserve">Perry, N. B., &amp; Dollar, J. M. (2021). Measurement of behavioral emotion regulation strategies in early childhood: The early emotion regulation behavior questionnaire (EERBQ). Children, 8(9). </w:t>
      </w:r>
    </w:p>
    <w:p w:rsidR="00537A84" w:rsidRPr="00B261D5" w:rsidRDefault="00537A84" w:rsidP="00B261D5">
      <w:pPr>
        <w:spacing w:after="0"/>
        <w:ind w:left="567" w:hanging="567"/>
        <w:jc w:val="both"/>
        <w:rPr>
          <w:rFonts w:ascii="Arial" w:eastAsia="Arial" w:hAnsi="Arial" w:cs="Arial"/>
          <w:color w:val="000000"/>
          <w:sz w:val="20"/>
          <w:szCs w:val="20"/>
        </w:rPr>
      </w:pPr>
      <w:r w:rsidRPr="00B261D5">
        <w:rPr>
          <w:rFonts w:ascii="Arial" w:eastAsia="Arial" w:hAnsi="Arial" w:cs="Arial"/>
          <w:color w:val="000000"/>
          <w:sz w:val="20"/>
          <w:szCs w:val="20"/>
        </w:rPr>
        <w:t>Picklesimer, B. K., &amp; Miller, T. K. (1998). Life-Skills Development Inventory-College Form: An Assessment Measure. Journal of College Student Development, 39(1), 100-110.</w:t>
      </w:r>
    </w:p>
    <w:p w:rsidR="00537A84" w:rsidRPr="00B261D5" w:rsidRDefault="00537A84" w:rsidP="00B261D5">
      <w:pPr>
        <w:spacing w:after="0"/>
        <w:ind w:left="567" w:hanging="567"/>
        <w:jc w:val="both"/>
        <w:rPr>
          <w:rFonts w:ascii="Arial" w:eastAsia="Arial" w:hAnsi="Arial" w:cs="Arial"/>
          <w:color w:val="000000"/>
          <w:sz w:val="20"/>
          <w:szCs w:val="20"/>
        </w:rPr>
      </w:pPr>
      <w:r w:rsidRPr="00B261D5">
        <w:rPr>
          <w:rFonts w:ascii="Arial" w:eastAsia="Arial" w:hAnsi="Arial" w:cs="Arial"/>
          <w:color w:val="000000"/>
          <w:sz w:val="20"/>
          <w:szCs w:val="20"/>
        </w:rPr>
        <w:t xml:space="preserve">Porter, A. K., Wen, F., Herring, A. H., Rodríguez, D. A., Messer, L., &amp; Evenson, K. R. (2018). Reliability and One-Year Stability of the PIN3 Neighborhood Environmental Audit in Urban and Rural Neighborhoods. Journal of Urban Health, 95(3), 431-440. </w:t>
      </w:r>
    </w:p>
    <w:p w:rsidR="00537A84" w:rsidRPr="00B261D5" w:rsidRDefault="00537A84" w:rsidP="00B261D5">
      <w:pPr>
        <w:spacing w:after="0"/>
        <w:ind w:left="567" w:hanging="567"/>
        <w:jc w:val="both"/>
        <w:rPr>
          <w:rFonts w:ascii="Arial" w:eastAsia="Arial" w:hAnsi="Arial" w:cs="Arial"/>
          <w:color w:val="000000"/>
          <w:sz w:val="20"/>
          <w:szCs w:val="20"/>
        </w:rPr>
      </w:pPr>
      <w:r w:rsidRPr="00B261D5">
        <w:rPr>
          <w:rFonts w:ascii="Arial" w:eastAsia="Arial" w:hAnsi="Arial" w:cs="Arial"/>
          <w:color w:val="000000"/>
          <w:sz w:val="20"/>
          <w:szCs w:val="20"/>
        </w:rPr>
        <w:t xml:space="preserve">Raphael, D., Brown, I., &amp; Renwick, R. (1999). Psychometric properties of the full and short versions of the quality of life instrument package: Results from the Ontario province-wide study. International Journal of Disability, Development and Education, 46(2), 157-168. </w:t>
      </w:r>
    </w:p>
    <w:p w:rsidR="00537A84" w:rsidRPr="00B261D5" w:rsidRDefault="00537A84" w:rsidP="00B261D5">
      <w:pPr>
        <w:spacing w:after="0"/>
        <w:ind w:left="567" w:hanging="567"/>
        <w:jc w:val="both"/>
        <w:rPr>
          <w:rFonts w:ascii="Arial" w:eastAsia="Arial" w:hAnsi="Arial" w:cs="Arial"/>
          <w:color w:val="000000"/>
          <w:sz w:val="20"/>
          <w:szCs w:val="20"/>
        </w:rPr>
      </w:pPr>
      <w:r w:rsidRPr="00B261D5">
        <w:rPr>
          <w:rFonts w:ascii="Arial" w:eastAsia="Arial" w:hAnsi="Arial" w:cs="Arial"/>
          <w:color w:val="000000"/>
          <w:sz w:val="20"/>
          <w:szCs w:val="20"/>
        </w:rPr>
        <w:t xml:space="preserve">Rizvi, I. A., &amp; Popli, S. (2021). Revisiting Leadership Communication: A Need for Conversation. Global Business Review, 22(6), 1459-1474. </w:t>
      </w:r>
    </w:p>
    <w:p w:rsidR="00537A84" w:rsidRPr="00B261D5" w:rsidRDefault="00537A84" w:rsidP="00B261D5">
      <w:pPr>
        <w:spacing w:after="0"/>
        <w:ind w:left="567" w:hanging="567"/>
        <w:jc w:val="both"/>
        <w:rPr>
          <w:rFonts w:ascii="Arial" w:eastAsia="Arial" w:hAnsi="Arial" w:cs="Arial"/>
          <w:color w:val="000000"/>
          <w:sz w:val="20"/>
          <w:szCs w:val="20"/>
        </w:rPr>
      </w:pPr>
      <w:r w:rsidRPr="00B261D5">
        <w:rPr>
          <w:rFonts w:ascii="Arial" w:eastAsia="Arial" w:hAnsi="Arial" w:cs="Arial"/>
          <w:color w:val="000000"/>
          <w:sz w:val="20"/>
          <w:szCs w:val="20"/>
        </w:rPr>
        <w:lastRenderedPageBreak/>
        <w:t xml:space="preserve">Rosen, A., Trauer, T., Hadzi-Pavlovic, D., &amp; Parker, G. (2001). Development of a brief form of the Life Skills Profile: The LSP-20. Australian and New Zealand Journal of Psychiatry, 35(5), 677-683. </w:t>
      </w:r>
    </w:p>
    <w:p w:rsidR="00537A84" w:rsidRPr="00B261D5" w:rsidRDefault="00537A84" w:rsidP="00B261D5">
      <w:pPr>
        <w:spacing w:after="0"/>
        <w:ind w:left="567" w:hanging="567"/>
        <w:jc w:val="both"/>
        <w:rPr>
          <w:rFonts w:ascii="Arial" w:eastAsia="Arial" w:hAnsi="Arial" w:cs="Arial"/>
          <w:color w:val="000000"/>
          <w:sz w:val="20"/>
          <w:szCs w:val="20"/>
        </w:rPr>
      </w:pPr>
      <w:r w:rsidRPr="00B261D5">
        <w:rPr>
          <w:rFonts w:ascii="Arial" w:eastAsia="Arial" w:hAnsi="Arial" w:cs="Arial"/>
          <w:color w:val="000000"/>
          <w:sz w:val="20"/>
          <w:szCs w:val="20"/>
        </w:rPr>
        <w:t xml:space="preserve">Ross, K. M., Kim, H., Tolan, P. H., &amp; Jennings, P. A. (2019). An exploration of normative social and emotional skill growth trajectories during adolescence. Journal of Applied Developmental Psychology, 62, 102-115. </w:t>
      </w:r>
    </w:p>
    <w:p w:rsidR="00537A84" w:rsidRPr="00B261D5" w:rsidRDefault="00537A84" w:rsidP="00B261D5">
      <w:pPr>
        <w:spacing w:after="0"/>
        <w:ind w:left="567" w:hanging="567"/>
        <w:jc w:val="both"/>
        <w:rPr>
          <w:rFonts w:ascii="Arial" w:eastAsia="Arial" w:hAnsi="Arial" w:cs="Arial"/>
          <w:color w:val="000000"/>
          <w:sz w:val="20"/>
          <w:szCs w:val="20"/>
        </w:rPr>
      </w:pPr>
      <w:r w:rsidRPr="00B261D5">
        <w:rPr>
          <w:rFonts w:ascii="Arial" w:eastAsia="Arial" w:hAnsi="Arial" w:cs="Arial"/>
          <w:color w:val="000000"/>
          <w:sz w:val="20"/>
          <w:szCs w:val="20"/>
        </w:rPr>
        <w:t>Rusmana, N., Hafina, A., Irawan, T. B. M. I. A., Hanurawan, F., &amp; Mashudi, E. A. (2025). Development and validation of an android application to enhance life skills for junior high school students. Journal of Engineering Science and Technology, 20(1), 176-192.</w:t>
      </w:r>
    </w:p>
    <w:p w:rsidR="00537A84" w:rsidRPr="00B261D5" w:rsidRDefault="00537A84" w:rsidP="00B261D5">
      <w:pPr>
        <w:spacing w:after="0"/>
        <w:ind w:left="567" w:hanging="567"/>
        <w:jc w:val="both"/>
        <w:rPr>
          <w:rFonts w:ascii="Arial" w:eastAsia="Arial" w:hAnsi="Arial" w:cs="Arial"/>
          <w:color w:val="000000"/>
          <w:sz w:val="20"/>
          <w:szCs w:val="20"/>
        </w:rPr>
      </w:pPr>
      <w:r w:rsidRPr="00B261D5">
        <w:rPr>
          <w:rFonts w:ascii="Arial" w:eastAsia="Arial" w:hAnsi="Arial" w:cs="Arial"/>
          <w:color w:val="000000"/>
          <w:sz w:val="20"/>
          <w:szCs w:val="20"/>
        </w:rPr>
        <w:t xml:space="preserve">Ryan, A. K., Worthy, P., Miller, L., &amp; Johnston, L. M. (2025). I can decide MyGOALS! Co-designing an online tool for child-led goal setting and evaluation. Disability and Rehabilitation: Assistive Technology, 20(1), 53-64. </w:t>
      </w:r>
    </w:p>
    <w:p w:rsidR="00537A84" w:rsidRPr="00B261D5" w:rsidRDefault="00537A84" w:rsidP="00B261D5">
      <w:pPr>
        <w:spacing w:after="0"/>
        <w:ind w:left="567" w:hanging="567"/>
        <w:jc w:val="both"/>
        <w:rPr>
          <w:rFonts w:ascii="Arial" w:eastAsia="Arial" w:hAnsi="Arial" w:cs="Arial"/>
          <w:color w:val="000000"/>
          <w:sz w:val="20"/>
          <w:szCs w:val="20"/>
        </w:rPr>
      </w:pPr>
      <w:r w:rsidRPr="00B261D5">
        <w:rPr>
          <w:rFonts w:ascii="Arial" w:eastAsia="Arial" w:hAnsi="Arial" w:cs="Arial"/>
          <w:color w:val="000000"/>
          <w:sz w:val="20"/>
          <w:szCs w:val="20"/>
        </w:rPr>
        <w:t xml:space="preserve">Sage, R. (2001). Supporting primary and secondary pupils with communication and behaviour problems. International Journal of Language and Communication Disorders, 36(Suppl), 422-427. </w:t>
      </w:r>
    </w:p>
    <w:p w:rsidR="00537A84" w:rsidRPr="00B261D5" w:rsidRDefault="00537A84" w:rsidP="00B261D5">
      <w:pPr>
        <w:spacing w:after="0"/>
        <w:ind w:left="567" w:hanging="567"/>
        <w:jc w:val="both"/>
        <w:rPr>
          <w:rFonts w:ascii="Arial" w:eastAsia="Arial" w:hAnsi="Arial" w:cs="Arial"/>
          <w:color w:val="000000"/>
          <w:sz w:val="20"/>
          <w:szCs w:val="20"/>
        </w:rPr>
      </w:pPr>
      <w:r w:rsidRPr="00B261D5">
        <w:rPr>
          <w:rFonts w:ascii="Arial" w:eastAsia="Arial" w:hAnsi="Arial" w:cs="Arial"/>
          <w:color w:val="000000"/>
          <w:sz w:val="20"/>
          <w:szCs w:val="20"/>
        </w:rPr>
        <w:t>Sanson-Fisher, R. W., &amp; Perkins, J. J. (1998). Adaptation and validation of the SF-36 Health Survey for use in Australia. Journal of Clinical Epidemiology, 51(11), 961-967.</w:t>
      </w:r>
    </w:p>
    <w:p w:rsidR="00537A84" w:rsidRPr="00B261D5" w:rsidRDefault="00537A84" w:rsidP="00B261D5">
      <w:pPr>
        <w:spacing w:after="0"/>
        <w:ind w:left="567" w:hanging="567"/>
        <w:jc w:val="both"/>
        <w:rPr>
          <w:rFonts w:ascii="Arial" w:eastAsia="Arial" w:hAnsi="Arial" w:cs="Arial"/>
          <w:color w:val="000000"/>
          <w:sz w:val="20"/>
          <w:szCs w:val="20"/>
        </w:rPr>
      </w:pPr>
      <w:r w:rsidRPr="00B261D5">
        <w:rPr>
          <w:rFonts w:ascii="Arial" w:eastAsia="Arial" w:hAnsi="Arial" w:cs="Arial"/>
          <w:color w:val="000000"/>
          <w:sz w:val="20"/>
          <w:szCs w:val="20"/>
        </w:rPr>
        <w:t xml:space="preserve">Sarwanto, Fajari, L. E. W., &amp; Chumdari. (2021). Open-Ended Questions to Assess Critical-Thinking Skills in Indonesian Elementary School. International Journal of Instruction, 14(1), 615-630. </w:t>
      </w:r>
    </w:p>
    <w:p w:rsidR="00537A84" w:rsidRPr="00B261D5" w:rsidRDefault="00537A84" w:rsidP="00B261D5">
      <w:pPr>
        <w:spacing w:after="0"/>
        <w:ind w:left="567" w:hanging="567"/>
        <w:jc w:val="both"/>
        <w:rPr>
          <w:rFonts w:ascii="Arial" w:eastAsia="Arial" w:hAnsi="Arial" w:cs="Arial"/>
          <w:color w:val="000000"/>
          <w:sz w:val="20"/>
          <w:szCs w:val="20"/>
        </w:rPr>
      </w:pPr>
      <w:r w:rsidRPr="00B261D5">
        <w:rPr>
          <w:rFonts w:ascii="Arial" w:eastAsia="Arial" w:hAnsi="Arial" w:cs="Arial"/>
          <w:color w:val="000000"/>
          <w:sz w:val="20"/>
          <w:szCs w:val="20"/>
        </w:rPr>
        <w:t xml:space="preserve">Shechtman, Z., Levy, M., &amp; Leichtentritt, J. (2005). Impact of Life Skills Training on Teachers' Perceived Environment and Self-Efficacy. Journal of Educational Research, 98(3), 144-154. </w:t>
      </w:r>
    </w:p>
    <w:p w:rsidR="00537A84" w:rsidRPr="00B261D5" w:rsidRDefault="00537A84" w:rsidP="00B261D5">
      <w:pPr>
        <w:spacing w:after="0"/>
        <w:ind w:left="567" w:hanging="567"/>
        <w:jc w:val="both"/>
        <w:rPr>
          <w:rFonts w:ascii="Arial" w:eastAsia="Arial" w:hAnsi="Arial" w:cs="Arial"/>
          <w:color w:val="000000"/>
          <w:sz w:val="20"/>
          <w:szCs w:val="20"/>
        </w:rPr>
      </w:pPr>
      <w:r w:rsidRPr="00B261D5">
        <w:rPr>
          <w:rFonts w:ascii="Arial" w:eastAsia="Arial" w:hAnsi="Arial" w:cs="Arial"/>
          <w:color w:val="000000"/>
          <w:sz w:val="20"/>
          <w:szCs w:val="20"/>
        </w:rPr>
        <w:t>Sheperis, D. S., Perepiczka, M., &amp; Limoges, C. (2018). Individual and group assessment and appraisal. In Career Counseling: Foundations, Perspectives, and Applications (pp. 81-100). Routledge.</w:t>
      </w:r>
    </w:p>
    <w:p w:rsidR="00537A84" w:rsidRPr="00B261D5" w:rsidRDefault="00537A84" w:rsidP="00B261D5">
      <w:pPr>
        <w:spacing w:after="0"/>
        <w:ind w:left="567" w:hanging="567"/>
        <w:jc w:val="both"/>
        <w:rPr>
          <w:rFonts w:ascii="Arial" w:eastAsia="Arial" w:hAnsi="Arial" w:cs="Arial"/>
          <w:color w:val="000000"/>
          <w:sz w:val="20"/>
          <w:szCs w:val="20"/>
        </w:rPr>
      </w:pPr>
      <w:r w:rsidRPr="00B261D5">
        <w:rPr>
          <w:rFonts w:ascii="Arial" w:eastAsia="Arial" w:hAnsi="Arial" w:cs="Arial"/>
          <w:color w:val="000000"/>
          <w:sz w:val="20"/>
          <w:szCs w:val="20"/>
        </w:rPr>
        <w:t>Shariff, K., Mlay, D. F., &amp; Owino, S. O. (2024). Generating Evidence from Life Skills Assessments to Inform Policy in East Africa. In Enabling Power of Assessment (pp. 71-90). Brill.</w:t>
      </w:r>
    </w:p>
    <w:p w:rsidR="00537A84" w:rsidRPr="00B261D5" w:rsidRDefault="00537A84" w:rsidP="00B261D5">
      <w:pPr>
        <w:spacing w:after="0"/>
        <w:ind w:left="567" w:hanging="567"/>
        <w:jc w:val="both"/>
        <w:rPr>
          <w:rFonts w:ascii="Arial" w:eastAsia="Arial" w:hAnsi="Arial" w:cs="Arial"/>
          <w:color w:val="000000"/>
          <w:sz w:val="20"/>
          <w:szCs w:val="20"/>
        </w:rPr>
      </w:pPr>
      <w:r w:rsidRPr="00B261D5">
        <w:rPr>
          <w:rFonts w:ascii="Arial" w:eastAsia="Arial" w:hAnsi="Arial" w:cs="Arial"/>
          <w:color w:val="000000"/>
          <w:sz w:val="20"/>
          <w:szCs w:val="20"/>
        </w:rPr>
        <w:t xml:space="preserve">Seligson, J. L., Huebner, E. S., &amp; Valois, R. F. (2005). An investigation of a brief life satisfaction scale with elementary school children. Social Indicators Research, 73(3), 355-374. </w:t>
      </w:r>
    </w:p>
    <w:p w:rsidR="00537A84" w:rsidRPr="00B261D5" w:rsidRDefault="00537A84" w:rsidP="00B261D5">
      <w:pPr>
        <w:spacing w:after="0"/>
        <w:ind w:left="567" w:hanging="567"/>
        <w:jc w:val="both"/>
        <w:rPr>
          <w:rFonts w:ascii="Arial" w:eastAsia="Arial" w:hAnsi="Arial" w:cs="Arial"/>
          <w:color w:val="000000"/>
          <w:sz w:val="20"/>
          <w:szCs w:val="20"/>
        </w:rPr>
      </w:pPr>
      <w:r w:rsidRPr="00B261D5">
        <w:rPr>
          <w:rFonts w:ascii="Arial" w:eastAsia="Arial" w:hAnsi="Arial" w:cs="Arial"/>
          <w:color w:val="000000"/>
          <w:sz w:val="20"/>
          <w:szCs w:val="20"/>
        </w:rPr>
        <w:t>Singh, A., Sharma, H., Chaudhary, A., &amp; Arora, M. K. (2025). Effectiveness of Llama 2 in addressing career development needs: A comprehensive review. In Applications of Artificial Intelligence in 5G and Internet of Things (pp. 55-70). Springer.</w:t>
      </w:r>
    </w:p>
    <w:p w:rsidR="00537A84" w:rsidRPr="00B261D5" w:rsidRDefault="00537A84" w:rsidP="00B261D5">
      <w:pPr>
        <w:spacing w:after="0"/>
        <w:ind w:left="567" w:hanging="567"/>
        <w:jc w:val="both"/>
        <w:rPr>
          <w:rFonts w:ascii="Arial" w:eastAsia="Arial" w:hAnsi="Arial" w:cs="Arial"/>
          <w:color w:val="000000"/>
          <w:sz w:val="20"/>
          <w:szCs w:val="20"/>
        </w:rPr>
      </w:pPr>
      <w:r w:rsidRPr="00B261D5">
        <w:rPr>
          <w:rFonts w:ascii="Arial" w:eastAsia="Arial" w:hAnsi="Arial" w:cs="Arial"/>
          <w:color w:val="000000"/>
          <w:sz w:val="20"/>
          <w:szCs w:val="20"/>
        </w:rPr>
        <w:t>Slomp, D., Oliveri, M. E., &amp; Poe, M. (2025). Working Toward Culturally Sustaining Workplace Assessment Programs Using an Integrated Design and Appraisal Framework. In Culturally Responsive Assessment in Classrooms and Large-Scale Contexts: Theory, Research, and Practice (pp. 365-384). Routledge.</w:t>
      </w:r>
    </w:p>
    <w:p w:rsidR="00537A84" w:rsidRPr="00B261D5" w:rsidRDefault="00537A84" w:rsidP="00B261D5">
      <w:pPr>
        <w:spacing w:after="0"/>
        <w:ind w:left="567" w:hanging="567"/>
        <w:jc w:val="both"/>
        <w:rPr>
          <w:rFonts w:ascii="Arial" w:eastAsia="Arial" w:hAnsi="Arial" w:cs="Arial"/>
          <w:color w:val="000000"/>
          <w:sz w:val="20"/>
          <w:szCs w:val="20"/>
        </w:rPr>
      </w:pPr>
      <w:r w:rsidRPr="00B261D5">
        <w:rPr>
          <w:rFonts w:ascii="Arial" w:eastAsia="Arial" w:hAnsi="Arial" w:cs="Arial"/>
          <w:color w:val="000000"/>
          <w:sz w:val="20"/>
          <w:szCs w:val="20"/>
        </w:rPr>
        <w:t xml:space="preserve">Smith, K. R. M., &amp; Matson, J. L. (2010). Social skills: Differences among adults with intellectual disabilities, co-morbid autism spectrum disorders and epilepsy. Research in Developmental Disabilities, 31(6), 1366-1372. </w:t>
      </w:r>
    </w:p>
    <w:p w:rsidR="00537A84" w:rsidRPr="00B261D5" w:rsidRDefault="00537A84" w:rsidP="00B261D5">
      <w:pPr>
        <w:spacing w:after="0"/>
        <w:ind w:left="567" w:hanging="567"/>
        <w:jc w:val="both"/>
        <w:rPr>
          <w:rFonts w:ascii="Arial" w:eastAsia="Arial" w:hAnsi="Arial" w:cs="Arial"/>
          <w:color w:val="000000"/>
          <w:sz w:val="20"/>
          <w:szCs w:val="20"/>
        </w:rPr>
      </w:pPr>
      <w:r w:rsidRPr="00B261D5">
        <w:rPr>
          <w:rFonts w:ascii="Arial" w:eastAsia="Arial" w:hAnsi="Arial" w:cs="Arial"/>
          <w:color w:val="000000"/>
          <w:sz w:val="20"/>
          <w:szCs w:val="20"/>
        </w:rPr>
        <w:t>Solmonson, L. (2024). Collaboration, Consultation, and Appropriate Referrals. In School Counselors as Practitioners: Building on Theory, Standards, and Experience for Optimal Performance, Second Edition (pp. 133-151). Routledge.</w:t>
      </w:r>
    </w:p>
    <w:p w:rsidR="00537A84" w:rsidRPr="00B261D5" w:rsidRDefault="00537A84" w:rsidP="00B261D5">
      <w:pPr>
        <w:spacing w:after="0"/>
        <w:ind w:left="567" w:hanging="567"/>
        <w:jc w:val="both"/>
        <w:rPr>
          <w:rFonts w:ascii="Arial" w:eastAsia="Arial" w:hAnsi="Arial" w:cs="Arial"/>
          <w:color w:val="000000"/>
          <w:sz w:val="20"/>
          <w:szCs w:val="20"/>
        </w:rPr>
      </w:pPr>
      <w:r w:rsidRPr="00B261D5">
        <w:rPr>
          <w:rFonts w:ascii="Arial" w:eastAsia="Arial" w:hAnsi="Arial" w:cs="Arial"/>
          <w:color w:val="000000"/>
          <w:sz w:val="20"/>
          <w:szCs w:val="20"/>
        </w:rPr>
        <w:lastRenderedPageBreak/>
        <w:t xml:space="preserve">Stowell, M., Ramalho, R., Manuela, S., Parackal, M., &amp; McCContinue07.07Organized references in APA format continuation.The user wants me to continue the references section. I need to continue listing the references in APA 7th format. Let me continue from where I left off with proper formatting.ool, J. (2025). Cross-cultural Adaptations of Mental Health Screening Tools: A Scoping Review. Current Psychiatry Reports, 27(1). </w:t>
      </w:r>
    </w:p>
    <w:p w:rsidR="00537A84" w:rsidRPr="00B261D5" w:rsidRDefault="00537A84" w:rsidP="00B261D5">
      <w:pPr>
        <w:spacing w:after="0"/>
        <w:ind w:left="567" w:hanging="567"/>
        <w:jc w:val="both"/>
        <w:rPr>
          <w:rFonts w:ascii="Arial" w:eastAsia="Arial" w:hAnsi="Arial" w:cs="Arial"/>
          <w:color w:val="000000"/>
          <w:sz w:val="20"/>
          <w:szCs w:val="20"/>
        </w:rPr>
      </w:pPr>
      <w:r w:rsidRPr="00B261D5">
        <w:rPr>
          <w:rFonts w:ascii="Arial" w:eastAsia="Arial" w:hAnsi="Arial" w:cs="Arial"/>
          <w:color w:val="000000"/>
          <w:sz w:val="20"/>
          <w:szCs w:val="20"/>
        </w:rPr>
        <w:t xml:space="preserve">Suri, N. A., Festiyed, Azhar, M., Asrizal, &amp; Alberida, H. (2025). Measuring what matters: A systematic review and VOSviewer-based bibliometric approach to digital literacy assessment instruments, competency dimensions and challenges in education. Research in Learning Technology, 33. </w:t>
      </w:r>
    </w:p>
    <w:p w:rsidR="00537A84" w:rsidRPr="00B261D5" w:rsidRDefault="00537A84" w:rsidP="00B261D5">
      <w:pPr>
        <w:spacing w:after="0"/>
        <w:ind w:left="567" w:hanging="567"/>
        <w:jc w:val="both"/>
        <w:rPr>
          <w:rFonts w:ascii="Arial" w:eastAsia="Arial" w:hAnsi="Arial" w:cs="Arial"/>
          <w:color w:val="000000"/>
          <w:sz w:val="20"/>
          <w:szCs w:val="20"/>
        </w:rPr>
      </w:pPr>
      <w:r w:rsidRPr="00B261D5">
        <w:rPr>
          <w:rFonts w:ascii="Arial" w:eastAsia="Arial" w:hAnsi="Arial" w:cs="Arial"/>
          <w:color w:val="000000"/>
          <w:sz w:val="20"/>
          <w:szCs w:val="20"/>
        </w:rPr>
        <w:t xml:space="preserve">Thomas, V. (1995). The Clinical Report: Integrating Family Assessment Instruments into Family Counseling Practice. The Family Journal, 3(4), 331-341. </w:t>
      </w:r>
    </w:p>
    <w:p w:rsidR="00537A84" w:rsidRPr="00B261D5" w:rsidRDefault="00537A84" w:rsidP="00B261D5">
      <w:pPr>
        <w:spacing w:after="0"/>
        <w:ind w:left="567" w:hanging="567"/>
        <w:jc w:val="both"/>
        <w:rPr>
          <w:rFonts w:ascii="Arial" w:eastAsia="Arial" w:hAnsi="Arial" w:cs="Arial"/>
          <w:color w:val="000000"/>
          <w:sz w:val="20"/>
          <w:szCs w:val="20"/>
        </w:rPr>
      </w:pPr>
      <w:r w:rsidRPr="00B261D5">
        <w:rPr>
          <w:rFonts w:ascii="Arial" w:eastAsia="Arial" w:hAnsi="Arial" w:cs="Arial"/>
          <w:color w:val="000000"/>
          <w:sz w:val="20"/>
          <w:szCs w:val="20"/>
        </w:rPr>
        <w:t xml:space="preserve">Triyani, S., Riyadi, &amp; Kurniawan, S. B. (2025). Analysis of creative thinking process of elementary school students in fraction problem solving based on mathematical ability level. AIP Conference Proceedings, 3265(1). </w:t>
      </w:r>
    </w:p>
    <w:p w:rsidR="00537A84" w:rsidRPr="00B261D5" w:rsidRDefault="00537A84" w:rsidP="00B261D5">
      <w:pPr>
        <w:spacing w:after="0"/>
        <w:ind w:left="567" w:hanging="567"/>
        <w:jc w:val="both"/>
        <w:rPr>
          <w:rFonts w:ascii="Arial" w:eastAsia="Arial" w:hAnsi="Arial" w:cs="Arial"/>
          <w:color w:val="000000"/>
          <w:sz w:val="20"/>
          <w:szCs w:val="20"/>
        </w:rPr>
      </w:pPr>
      <w:r w:rsidRPr="00B261D5">
        <w:rPr>
          <w:rFonts w:ascii="Arial" w:eastAsia="Arial" w:hAnsi="Arial" w:cs="Arial"/>
          <w:color w:val="000000"/>
          <w:sz w:val="20"/>
          <w:szCs w:val="20"/>
        </w:rPr>
        <w:t>Turner, F., Babu, M., &amp; Mcintire, O. (2024). Reflections on ALiVE's Collaborative Endeavour. In Enabling Power of Assessment (pp. 395-410). Brill.</w:t>
      </w:r>
    </w:p>
    <w:p w:rsidR="00537A84" w:rsidRPr="00B261D5" w:rsidRDefault="00537A84" w:rsidP="00B261D5">
      <w:pPr>
        <w:spacing w:after="0"/>
        <w:ind w:left="567" w:hanging="567"/>
        <w:jc w:val="both"/>
        <w:rPr>
          <w:rFonts w:ascii="Arial" w:eastAsia="Arial" w:hAnsi="Arial" w:cs="Arial"/>
          <w:color w:val="000000"/>
          <w:sz w:val="20"/>
          <w:szCs w:val="20"/>
        </w:rPr>
      </w:pPr>
      <w:r w:rsidRPr="00B261D5">
        <w:rPr>
          <w:rFonts w:ascii="Arial" w:eastAsia="Arial" w:hAnsi="Arial" w:cs="Arial"/>
          <w:color w:val="000000"/>
          <w:sz w:val="20"/>
          <w:szCs w:val="20"/>
        </w:rPr>
        <w:t xml:space="preserve">Tymes, D. D., Outlaw, K. L., &amp; Hamilton, B. K. (2016). Life Skills Interventions to Improve Social Confidence, Self-Management, and Protection against Drug Use in Rural Elementary School Aged Children. Journal of Community Health Nursing, 33(1), 14-26. </w:t>
      </w:r>
    </w:p>
    <w:p w:rsidR="00537A84" w:rsidRPr="00B261D5" w:rsidRDefault="00537A84" w:rsidP="00B261D5">
      <w:pPr>
        <w:spacing w:after="0"/>
        <w:ind w:left="567" w:hanging="567"/>
        <w:jc w:val="both"/>
        <w:rPr>
          <w:rFonts w:ascii="Arial" w:eastAsia="Arial" w:hAnsi="Arial" w:cs="Arial"/>
          <w:color w:val="000000"/>
          <w:sz w:val="20"/>
          <w:szCs w:val="20"/>
        </w:rPr>
      </w:pPr>
      <w:r w:rsidRPr="00B261D5">
        <w:rPr>
          <w:rFonts w:ascii="Arial" w:eastAsia="Arial" w:hAnsi="Arial" w:cs="Arial"/>
          <w:color w:val="000000"/>
          <w:sz w:val="20"/>
          <w:szCs w:val="20"/>
        </w:rPr>
        <w:t xml:space="preserve">Uglanova, I., Orel, E., Gracheva, D., &amp; Tarasova, K. (2023). Computer-based performance approach for critical thinking assessment in children. British Journal of Educational Psychology, 93(S1), 27-43. </w:t>
      </w:r>
    </w:p>
    <w:p w:rsidR="00537A84" w:rsidRPr="00B261D5" w:rsidRDefault="00537A84" w:rsidP="00B261D5">
      <w:pPr>
        <w:spacing w:after="0"/>
        <w:ind w:left="567" w:hanging="567"/>
        <w:jc w:val="both"/>
        <w:rPr>
          <w:rFonts w:ascii="Arial" w:eastAsia="Arial" w:hAnsi="Arial" w:cs="Arial"/>
          <w:color w:val="000000"/>
          <w:sz w:val="20"/>
          <w:szCs w:val="20"/>
        </w:rPr>
      </w:pPr>
      <w:r w:rsidRPr="00B261D5">
        <w:rPr>
          <w:rFonts w:ascii="Arial" w:eastAsia="Arial" w:hAnsi="Arial" w:cs="Arial"/>
          <w:color w:val="000000"/>
          <w:sz w:val="20"/>
          <w:szCs w:val="20"/>
        </w:rPr>
        <w:t xml:space="preserve">Uglanova, I. L., Orel, E. A., &amp; Brun, I. V. (2020). Measuring creativity and critical thinking in primary school. Psikhologicheskii Zhurnal, 41(5), 76-88. </w:t>
      </w:r>
    </w:p>
    <w:p w:rsidR="00537A84" w:rsidRPr="00B261D5" w:rsidRDefault="00537A84" w:rsidP="00B261D5">
      <w:pPr>
        <w:spacing w:after="0"/>
        <w:ind w:left="567" w:hanging="567"/>
        <w:jc w:val="both"/>
        <w:rPr>
          <w:rFonts w:ascii="Arial" w:eastAsia="Arial" w:hAnsi="Arial" w:cs="Arial"/>
          <w:color w:val="000000"/>
          <w:sz w:val="20"/>
          <w:szCs w:val="20"/>
        </w:rPr>
      </w:pPr>
      <w:r w:rsidRPr="00B261D5">
        <w:rPr>
          <w:rFonts w:ascii="Arial" w:eastAsia="Arial" w:hAnsi="Arial" w:cs="Arial"/>
          <w:color w:val="000000"/>
          <w:sz w:val="20"/>
          <w:szCs w:val="20"/>
        </w:rPr>
        <w:t xml:space="preserve">Uysal-Bozkir, Ö., Parlevliet, J. L., &amp; De Rooij, S. E. (2013). Insufficient cross-cultural adaptations and psychometric properties for many translated health assessment scales: A systematic review. Journal of Clinical Epidemiology, 66(6), 608-618. </w:t>
      </w:r>
    </w:p>
    <w:p w:rsidR="00537A84" w:rsidRPr="00B261D5" w:rsidRDefault="00537A84" w:rsidP="00B261D5">
      <w:pPr>
        <w:spacing w:after="0"/>
        <w:ind w:left="567" w:hanging="567"/>
        <w:jc w:val="both"/>
        <w:rPr>
          <w:rFonts w:ascii="Arial" w:eastAsia="Arial" w:hAnsi="Arial" w:cs="Arial"/>
          <w:color w:val="000000"/>
          <w:sz w:val="20"/>
          <w:szCs w:val="20"/>
        </w:rPr>
      </w:pPr>
      <w:r w:rsidRPr="00B261D5">
        <w:rPr>
          <w:rFonts w:ascii="Arial" w:eastAsia="Arial" w:hAnsi="Arial" w:cs="Arial"/>
          <w:color w:val="000000"/>
          <w:sz w:val="20"/>
          <w:szCs w:val="20"/>
        </w:rPr>
        <w:t xml:space="preserve">Vahdani, M., Cronin, L., &amp; Rezasoltani, N. (2024). Cross-Cultural Adaptation and Psychometric Properties of the Persian Version of the Life Skills Scale for Physical Education. Journal of Teaching in Physical Education, 43(2), 337-347. </w:t>
      </w:r>
    </w:p>
    <w:p w:rsidR="00537A84" w:rsidRPr="00B261D5" w:rsidRDefault="00537A84" w:rsidP="00B261D5">
      <w:pPr>
        <w:spacing w:after="0"/>
        <w:ind w:left="567" w:hanging="567"/>
        <w:jc w:val="both"/>
        <w:rPr>
          <w:rFonts w:ascii="Arial" w:eastAsia="Arial" w:hAnsi="Arial" w:cs="Arial"/>
          <w:color w:val="000000"/>
          <w:sz w:val="20"/>
          <w:szCs w:val="20"/>
        </w:rPr>
      </w:pPr>
      <w:r w:rsidRPr="00B261D5">
        <w:rPr>
          <w:rFonts w:ascii="Arial" w:eastAsia="Arial" w:hAnsi="Arial" w:cs="Arial"/>
          <w:color w:val="000000"/>
          <w:sz w:val="20"/>
          <w:szCs w:val="20"/>
        </w:rPr>
        <w:t xml:space="preserve">Valenti, G. D., &amp; Faraci, P. (2024). Psychometric Properties and Measurement Invariance of the English Version of the Satisfaction with Life Scale (SWLS) for Non-Native English Speakers. European Journal of Investigation in Health, Psychology and Education, 14(6), 1721-1733. </w:t>
      </w:r>
    </w:p>
    <w:p w:rsidR="00537A84" w:rsidRPr="00B261D5" w:rsidRDefault="00537A84" w:rsidP="00B261D5">
      <w:pPr>
        <w:spacing w:after="0"/>
        <w:ind w:left="567" w:hanging="567"/>
        <w:jc w:val="both"/>
        <w:rPr>
          <w:rFonts w:ascii="Arial" w:eastAsia="Arial" w:hAnsi="Arial" w:cs="Arial"/>
          <w:color w:val="000000"/>
          <w:sz w:val="20"/>
          <w:szCs w:val="20"/>
        </w:rPr>
      </w:pPr>
      <w:r w:rsidRPr="00B261D5">
        <w:rPr>
          <w:rFonts w:ascii="Arial" w:eastAsia="Arial" w:hAnsi="Arial" w:cs="Arial"/>
          <w:color w:val="000000"/>
          <w:sz w:val="20"/>
          <w:szCs w:val="20"/>
        </w:rPr>
        <w:t>Van Hooijdonk, M., Mainhard, T., Kroesbergen, E. H., &amp; Van Tartwijk, J. (2024). Can elementary school teachers assess students' creative problem solving abilities? Teaching and Teacher Education, 142. https://doi.org/10.1016/j.tate.2024.104520</w:t>
      </w:r>
    </w:p>
    <w:p w:rsidR="00537A84" w:rsidRPr="00B261D5" w:rsidRDefault="00537A84" w:rsidP="00B261D5">
      <w:pPr>
        <w:spacing w:after="0"/>
        <w:ind w:left="567" w:hanging="567"/>
        <w:jc w:val="both"/>
        <w:rPr>
          <w:rFonts w:ascii="Arial" w:eastAsia="Arial" w:hAnsi="Arial" w:cs="Arial"/>
          <w:color w:val="000000"/>
          <w:sz w:val="20"/>
          <w:szCs w:val="20"/>
        </w:rPr>
      </w:pPr>
      <w:r w:rsidRPr="00B261D5">
        <w:rPr>
          <w:rFonts w:ascii="Arial" w:eastAsia="Arial" w:hAnsi="Arial" w:cs="Arial"/>
          <w:color w:val="000000"/>
          <w:sz w:val="20"/>
          <w:szCs w:val="20"/>
        </w:rPr>
        <w:t xml:space="preserve">van Zyl, C., Mokkink, L. B., Derman, W., Ferreira, N., Parker, R., Jelsma, J., &amp; Heine, M. (2023). Patient-Reported Outcome Measures in Key Sub-Saharan African Languages to Promote Diversity: A Scoping Review. Value in Health Regional Issues, 33, 92-102. </w:t>
      </w:r>
    </w:p>
    <w:p w:rsidR="00537A84" w:rsidRPr="00B261D5" w:rsidRDefault="00537A84" w:rsidP="00B261D5">
      <w:pPr>
        <w:spacing w:after="0"/>
        <w:ind w:left="567" w:hanging="567"/>
        <w:jc w:val="both"/>
        <w:rPr>
          <w:rFonts w:ascii="Arial" w:eastAsia="Arial" w:hAnsi="Arial" w:cs="Arial"/>
          <w:color w:val="000000"/>
          <w:sz w:val="20"/>
          <w:szCs w:val="20"/>
        </w:rPr>
      </w:pPr>
      <w:r w:rsidRPr="00B261D5">
        <w:rPr>
          <w:rFonts w:ascii="Arial" w:eastAsia="Arial" w:hAnsi="Arial" w:cs="Arial"/>
          <w:color w:val="000000"/>
          <w:sz w:val="20"/>
          <w:szCs w:val="20"/>
        </w:rPr>
        <w:t>Vargas, A. L., &amp; Castro, J. A. (2022). Digital literacy in secondary education: Systematic review in diagnostic and assessment instruments. Interciencia, 47(11), 471-478.</w:t>
      </w:r>
    </w:p>
    <w:p w:rsidR="00537A84" w:rsidRPr="00B261D5" w:rsidRDefault="00537A84" w:rsidP="00B261D5">
      <w:pPr>
        <w:spacing w:after="0"/>
        <w:ind w:left="567" w:hanging="567"/>
        <w:jc w:val="both"/>
        <w:rPr>
          <w:rFonts w:ascii="Arial" w:eastAsia="Arial" w:hAnsi="Arial" w:cs="Arial"/>
          <w:color w:val="000000"/>
          <w:sz w:val="20"/>
          <w:szCs w:val="20"/>
        </w:rPr>
      </w:pPr>
      <w:r w:rsidRPr="00B261D5">
        <w:rPr>
          <w:rFonts w:ascii="Arial" w:eastAsia="Arial" w:hAnsi="Arial" w:cs="Arial"/>
          <w:color w:val="000000"/>
          <w:sz w:val="20"/>
          <w:szCs w:val="20"/>
        </w:rPr>
        <w:t xml:space="preserve">Villányi, D., Martin, R., Sonnleitner, P., Siry, C., &amp; Fischbach, A. (2018). A tablet-computer-based tool to facilitate accurate self-assessments in third- and fourth-graders. International Journal of Emerging Technologies in Learning, 13(11), 115-132. </w:t>
      </w:r>
    </w:p>
    <w:p w:rsidR="00537A84" w:rsidRPr="00B261D5" w:rsidRDefault="00537A84" w:rsidP="00B261D5">
      <w:pPr>
        <w:spacing w:after="0"/>
        <w:ind w:left="567" w:hanging="567"/>
        <w:jc w:val="both"/>
        <w:rPr>
          <w:rFonts w:ascii="Arial" w:eastAsia="Arial" w:hAnsi="Arial" w:cs="Arial"/>
          <w:color w:val="000000"/>
          <w:sz w:val="20"/>
          <w:szCs w:val="20"/>
        </w:rPr>
      </w:pPr>
      <w:r w:rsidRPr="00B261D5">
        <w:rPr>
          <w:rFonts w:ascii="Arial" w:eastAsia="Arial" w:hAnsi="Arial" w:cs="Arial"/>
          <w:color w:val="000000"/>
          <w:sz w:val="20"/>
          <w:szCs w:val="20"/>
        </w:rPr>
        <w:lastRenderedPageBreak/>
        <w:t>Vitto, C. D. (2024). Effective communication techniques for a diverse student body. In Global Classroom: Multicultural Approaches and Organizational Strategies in Teaching and Learning Business and Economics (pp. 121-136). Routledge.</w:t>
      </w:r>
    </w:p>
    <w:p w:rsidR="00537A84" w:rsidRPr="00B261D5" w:rsidRDefault="00537A84" w:rsidP="00B261D5">
      <w:pPr>
        <w:spacing w:after="0"/>
        <w:ind w:left="567" w:hanging="567"/>
        <w:jc w:val="both"/>
        <w:rPr>
          <w:rFonts w:ascii="Arial" w:eastAsia="Arial" w:hAnsi="Arial" w:cs="Arial"/>
          <w:color w:val="000000"/>
          <w:sz w:val="20"/>
          <w:szCs w:val="20"/>
        </w:rPr>
      </w:pPr>
      <w:r w:rsidRPr="00B261D5">
        <w:rPr>
          <w:rFonts w:ascii="Arial" w:eastAsia="Arial" w:hAnsi="Arial" w:cs="Arial"/>
          <w:color w:val="000000"/>
          <w:sz w:val="20"/>
          <w:szCs w:val="20"/>
        </w:rPr>
        <w:t xml:space="preserve">Vlachou, A., Stavroussi, P., Andreou, E., &amp; Toulia, A. (2025). The Development of the "Checklist for Life Skills Educational Assessment" (CLSEA). Education Sciences, 15(1). </w:t>
      </w:r>
    </w:p>
    <w:p w:rsidR="00537A84" w:rsidRPr="00B261D5" w:rsidRDefault="00537A84" w:rsidP="00B261D5">
      <w:pPr>
        <w:spacing w:after="0"/>
        <w:ind w:left="567" w:hanging="567"/>
        <w:jc w:val="both"/>
        <w:rPr>
          <w:rFonts w:ascii="Arial" w:eastAsia="Arial" w:hAnsi="Arial" w:cs="Arial"/>
          <w:color w:val="000000"/>
          <w:sz w:val="20"/>
          <w:szCs w:val="20"/>
        </w:rPr>
      </w:pPr>
      <w:r w:rsidRPr="00B261D5">
        <w:rPr>
          <w:rFonts w:ascii="Arial" w:eastAsia="Arial" w:hAnsi="Arial" w:cs="Arial"/>
          <w:color w:val="000000"/>
          <w:sz w:val="20"/>
          <w:szCs w:val="20"/>
        </w:rPr>
        <w:t xml:space="preserve">Wallace, C. J. (1986). Functional assessment in rehabilitation. Schizophrenia Bulletin, </w:t>
      </w:r>
    </w:p>
    <w:p w:rsidR="00537A84" w:rsidRPr="00B261D5" w:rsidRDefault="00537A84" w:rsidP="00B261D5">
      <w:pPr>
        <w:spacing w:after="0"/>
        <w:ind w:left="567" w:hanging="567"/>
        <w:jc w:val="both"/>
        <w:rPr>
          <w:rFonts w:ascii="Arial" w:eastAsia="Arial" w:hAnsi="Arial" w:cs="Arial"/>
          <w:color w:val="000000"/>
          <w:sz w:val="20"/>
          <w:szCs w:val="20"/>
        </w:rPr>
      </w:pPr>
      <w:r w:rsidRPr="00B261D5">
        <w:rPr>
          <w:rFonts w:ascii="Arial" w:eastAsia="Arial" w:hAnsi="Arial" w:cs="Arial"/>
          <w:color w:val="000000"/>
          <w:sz w:val="20"/>
          <w:szCs w:val="20"/>
        </w:rPr>
        <w:t xml:space="preserve">Wan, L., &amp; Henly, G. A. (2012). Measurement Properties of Two Innovative Item Formats in a Computer-Based Test. Applied Measurement in Education, 25(1), 58-78. </w:t>
      </w:r>
    </w:p>
    <w:p w:rsidR="00537A84" w:rsidRPr="00B261D5" w:rsidRDefault="00537A84" w:rsidP="00B261D5">
      <w:pPr>
        <w:spacing w:after="0"/>
        <w:ind w:left="567" w:hanging="567"/>
        <w:jc w:val="both"/>
        <w:rPr>
          <w:rFonts w:ascii="Arial" w:eastAsia="Arial" w:hAnsi="Arial" w:cs="Arial"/>
          <w:color w:val="000000"/>
          <w:sz w:val="20"/>
          <w:szCs w:val="20"/>
        </w:rPr>
      </w:pPr>
      <w:r w:rsidRPr="00B261D5">
        <w:rPr>
          <w:rFonts w:ascii="Arial" w:eastAsia="Arial" w:hAnsi="Arial" w:cs="Arial"/>
          <w:color w:val="000000"/>
          <w:sz w:val="20"/>
          <w:szCs w:val="20"/>
        </w:rPr>
        <w:t>Whitcomb, S. A. (2017). Behavioral, Social, and Emotional Assessment of Children and Adolescents, Fifth Edition. Routledge.</w:t>
      </w:r>
    </w:p>
    <w:p w:rsidR="00537A84" w:rsidRPr="00B261D5" w:rsidRDefault="00537A84" w:rsidP="00B261D5">
      <w:pPr>
        <w:spacing w:after="0"/>
        <w:ind w:left="567" w:hanging="567"/>
        <w:jc w:val="both"/>
        <w:rPr>
          <w:rFonts w:ascii="Arial" w:eastAsia="Arial" w:hAnsi="Arial" w:cs="Arial"/>
          <w:color w:val="000000"/>
          <w:sz w:val="20"/>
          <w:szCs w:val="20"/>
        </w:rPr>
      </w:pPr>
      <w:r w:rsidRPr="00B261D5">
        <w:rPr>
          <w:rFonts w:ascii="Arial" w:eastAsia="Arial" w:hAnsi="Arial" w:cs="Arial"/>
          <w:color w:val="000000"/>
          <w:sz w:val="20"/>
          <w:szCs w:val="20"/>
        </w:rPr>
        <w:t xml:space="preserve">Wijaya, R. S., Husniah, W. D., Taherong, R., Ulumudin, I., &amp; Ichsani, N. (2019). Professional competency levels teacher guidance and counseling / counselor school. IOP Conference Series: Earth and Environmental Science, 243(1). </w:t>
      </w:r>
    </w:p>
    <w:p w:rsidR="00537A84" w:rsidRPr="00B261D5" w:rsidRDefault="00537A84" w:rsidP="00B261D5">
      <w:pPr>
        <w:spacing w:after="0"/>
        <w:ind w:left="567" w:hanging="567"/>
        <w:jc w:val="both"/>
        <w:rPr>
          <w:rFonts w:ascii="Arial" w:eastAsia="Arial" w:hAnsi="Arial" w:cs="Arial"/>
          <w:color w:val="000000"/>
          <w:sz w:val="20"/>
          <w:szCs w:val="20"/>
        </w:rPr>
      </w:pPr>
      <w:r w:rsidRPr="00B261D5">
        <w:rPr>
          <w:rFonts w:ascii="Arial" w:eastAsia="Arial" w:hAnsi="Arial" w:cs="Arial"/>
          <w:color w:val="000000"/>
          <w:sz w:val="20"/>
          <w:szCs w:val="20"/>
        </w:rPr>
        <w:t xml:space="preserve">Wittevrongel, K., Mitchell, W., Hébert, M. L., Gulamani, N., Kulkarni, C., Lin, L., Nicholas, D. B., Sung, V., Khetani, M. A., &amp; Zwicker, J. D. (2022). Acceptability of employment readiness measures in youth and young adults on the autism spectrum: A mixed-methods study. Disability and Rehabilitation, 44(20), 5888-5899. </w:t>
      </w:r>
    </w:p>
    <w:p w:rsidR="00537A84" w:rsidRPr="00B261D5" w:rsidRDefault="00537A84" w:rsidP="00B261D5">
      <w:pPr>
        <w:spacing w:after="0"/>
        <w:ind w:left="567" w:hanging="567"/>
        <w:jc w:val="both"/>
        <w:rPr>
          <w:rFonts w:ascii="Arial" w:eastAsia="Arial" w:hAnsi="Arial" w:cs="Arial"/>
          <w:color w:val="000000"/>
          <w:sz w:val="20"/>
          <w:szCs w:val="20"/>
        </w:rPr>
      </w:pPr>
      <w:r w:rsidRPr="00B261D5">
        <w:rPr>
          <w:rFonts w:ascii="Arial" w:eastAsia="Arial" w:hAnsi="Arial" w:cs="Arial"/>
          <w:color w:val="000000"/>
          <w:sz w:val="20"/>
          <w:szCs w:val="20"/>
        </w:rPr>
        <w:t xml:space="preserve">Wolter, J. A., &amp; Timler, G. R. (2014). Issue editor foreword: Focus on meta skills: Part 1. Morphological awareness and assessment; Part 2. Autism and concepts of self. Topics in Language Disorders, 34(3), 197-199. </w:t>
      </w:r>
    </w:p>
    <w:p w:rsidR="00537A84" w:rsidRPr="00B261D5" w:rsidRDefault="00537A84" w:rsidP="00B261D5">
      <w:pPr>
        <w:spacing w:after="0"/>
        <w:ind w:left="567" w:hanging="567"/>
        <w:jc w:val="both"/>
        <w:rPr>
          <w:rFonts w:ascii="Arial" w:eastAsia="Arial" w:hAnsi="Arial" w:cs="Arial"/>
          <w:color w:val="000000"/>
          <w:sz w:val="20"/>
          <w:szCs w:val="20"/>
        </w:rPr>
      </w:pPr>
      <w:r w:rsidRPr="00B261D5">
        <w:rPr>
          <w:rFonts w:ascii="Arial" w:eastAsia="Arial" w:hAnsi="Arial" w:cs="Arial"/>
          <w:color w:val="000000"/>
          <w:sz w:val="20"/>
          <w:szCs w:val="20"/>
        </w:rPr>
        <w:t xml:space="preserve">Wright, W. H., &amp; Michael, W. B. (1977). The development and validation of a scale for school observation of characteristics associated with learning disabilities and minimal brain dysfunction in elementary school boys. Educational and Psychological Measurement, 37(4), 997-1005. </w:t>
      </w:r>
    </w:p>
    <w:p w:rsidR="00537A84" w:rsidRPr="00B261D5" w:rsidRDefault="00537A84" w:rsidP="00B261D5">
      <w:pPr>
        <w:spacing w:after="0"/>
        <w:ind w:left="567" w:hanging="567"/>
        <w:jc w:val="both"/>
        <w:rPr>
          <w:rFonts w:ascii="Arial" w:eastAsia="Arial" w:hAnsi="Arial" w:cs="Arial"/>
          <w:color w:val="000000"/>
          <w:sz w:val="20"/>
          <w:szCs w:val="20"/>
        </w:rPr>
      </w:pPr>
      <w:r w:rsidRPr="00B261D5">
        <w:rPr>
          <w:rFonts w:ascii="Arial" w:eastAsia="Arial" w:hAnsi="Arial" w:cs="Arial"/>
          <w:color w:val="000000"/>
          <w:sz w:val="20"/>
          <w:szCs w:val="20"/>
        </w:rPr>
        <w:t xml:space="preserve">Wu, W.-C., Lee, M.-J., &amp; Chang, Y. (2023). Effects of the positive Interpersonal and life orientation training (PILOT) program among elementary school students in Taiwan. Children and Youth Services Review, 155. </w:t>
      </w:r>
    </w:p>
    <w:p w:rsidR="00537A84" w:rsidRPr="00B261D5" w:rsidRDefault="00537A84" w:rsidP="00B261D5">
      <w:pPr>
        <w:spacing w:after="0"/>
        <w:ind w:left="567" w:hanging="567"/>
        <w:jc w:val="both"/>
        <w:rPr>
          <w:rFonts w:ascii="Arial" w:eastAsia="Arial" w:hAnsi="Arial" w:cs="Arial"/>
          <w:color w:val="000000"/>
          <w:sz w:val="20"/>
          <w:szCs w:val="20"/>
        </w:rPr>
      </w:pPr>
      <w:r w:rsidRPr="00B261D5">
        <w:rPr>
          <w:rFonts w:ascii="Arial" w:eastAsia="Arial" w:hAnsi="Arial" w:cs="Arial"/>
          <w:color w:val="000000"/>
          <w:sz w:val="20"/>
          <w:szCs w:val="20"/>
        </w:rPr>
        <w:t xml:space="preserve">Yildirim, Y., &amp; Niyomugabo, I. (2025). Cross-Cultural Examination of Early Childhood Life Skills: Comparative Analysis of Educational Practices in Turkey and Rwanda. Early Childhood Education Journal, 53(1), 205-218. </w:t>
      </w:r>
    </w:p>
    <w:p w:rsidR="00537A84" w:rsidRPr="00B261D5" w:rsidRDefault="00537A84" w:rsidP="00B261D5">
      <w:pPr>
        <w:spacing w:after="0"/>
        <w:ind w:left="567" w:hanging="567"/>
        <w:jc w:val="both"/>
        <w:rPr>
          <w:rFonts w:ascii="Arial" w:eastAsia="Arial" w:hAnsi="Arial" w:cs="Arial"/>
          <w:color w:val="000000"/>
          <w:sz w:val="20"/>
          <w:szCs w:val="20"/>
        </w:rPr>
      </w:pPr>
      <w:r w:rsidRPr="00B261D5">
        <w:rPr>
          <w:rFonts w:ascii="Arial" w:eastAsia="Arial" w:hAnsi="Arial" w:cs="Arial"/>
          <w:color w:val="000000"/>
          <w:sz w:val="20"/>
          <w:szCs w:val="20"/>
        </w:rPr>
        <w:t xml:space="preserve">Zeng, Y., Ling, Y., Huebner, E. S., He, Y., &amp; Fu, P. (2018). Assessing the measurement invariance of the Brief Multidimensional Students' Life Satisfaction Scale in Chinese and American adolescents. Quality of Life Research, 27(4), 1009-1019. </w:t>
      </w:r>
    </w:p>
    <w:p w:rsidR="00537A84" w:rsidRPr="00B261D5" w:rsidRDefault="00537A84" w:rsidP="00B261D5">
      <w:pPr>
        <w:spacing w:after="0"/>
        <w:ind w:left="567" w:hanging="567"/>
        <w:jc w:val="both"/>
        <w:rPr>
          <w:rFonts w:ascii="Arial" w:eastAsia="Arial" w:hAnsi="Arial" w:cs="Arial"/>
          <w:color w:val="000000"/>
          <w:sz w:val="20"/>
          <w:szCs w:val="20"/>
        </w:rPr>
      </w:pPr>
      <w:r w:rsidRPr="00B261D5">
        <w:rPr>
          <w:rFonts w:ascii="Arial" w:eastAsia="Arial" w:hAnsi="Arial" w:cs="Arial"/>
          <w:color w:val="000000"/>
          <w:sz w:val="20"/>
          <w:szCs w:val="20"/>
        </w:rPr>
        <w:t>Zhidkikh, D., Saarela, M., &amp; Kärkkäinen, T. (2023). Measuring self-regulated learning in a junior high school mathematics classroom: Combining aptitude and event measures in digital learning materials. Journal of Computer Assisted Learning, 39(5), 1525-</w:t>
      </w:r>
    </w:p>
    <w:p w:rsidR="00537A84" w:rsidRPr="00B261D5" w:rsidRDefault="00537A84" w:rsidP="00B261D5">
      <w:pPr>
        <w:spacing w:after="0"/>
        <w:ind w:left="567" w:hanging="567"/>
        <w:jc w:val="both"/>
        <w:rPr>
          <w:rFonts w:ascii="Arial" w:eastAsia="Arial" w:hAnsi="Arial" w:cs="Arial"/>
          <w:color w:val="000000"/>
          <w:sz w:val="20"/>
          <w:szCs w:val="20"/>
        </w:rPr>
      </w:pPr>
      <w:r w:rsidRPr="00B261D5">
        <w:rPr>
          <w:rFonts w:ascii="Arial" w:eastAsia="Arial" w:hAnsi="Arial" w:cs="Arial"/>
          <w:color w:val="000000"/>
          <w:sz w:val="20"/>
          <w:szCs w:val="20"/>
        </w:rPr>
        <w:t xml:space="preserve">Zhu, Z., Jiao, D., Li, X., Wang, X., Teng, Q., Anme, T., &amp; Lian, R. (2023). Measurement invariance and country difference in children's social skills development: Evidence from Japanese and Chinese samples. Current Psychology, 42(18), 15420-15432. </w:t>
      </w:r>
    </w:p>
    <w:p w:rsidR="007C4BC4" w:rsidRPr="00B261D5" w:rsidRDefault="00537A84" w:rsidP="00B261D5">
      <w:pPr>
        <w:spacing w:after="0"/>
        <w:ind w:left="567" w:hanging="567"/>
        <w:jc w:val="both"/>
        <w:rPr>
          <w:rFonts w:ascii="Arial" w:eastAsia="Arial" w:hAnsi="Arial" w:cs="Arial"/>
          <w:color w:val="000000"/>
          <w:sz w:val="20"/>
          <w:szCs w:val="20"/>
        </w:rPr>
      </w:pPr>
      <w:r w:rsidRPr="00B261D5">
        <w:rPr>
          <w:rFonts w:ascii="Arial" w:eastAsia="Arial" w:hAnsi="Arial" w:cs="Arial"/>
          <w:color w:val="000000"/>
          <w:sz w:val="20"/>
          <w:szCs w:val="20"/>
        </w:rPr>
        <w:t xml:space="preserve">Zieschank, K. L., Machin, T., Day, J., March, S., &amp; Ireland, M. (2021). Children's Perspectives on Emotions Informing a Child-Reported Screening Instrument. Journal of Child and Family Studies, 30(11), 2750-2761. </w:t>
      </w:r>
    </w:p>
    <w:p w:rsidR="005A1337" w:rsidRDefault="005A1337">
      <w:pPr>
        <w:rPr>
          <w:rFonts w:ascii="Arial" w:eastAsia="Arial" w:hAnsi="Arial" w:cs="Arial"/>
          <w:sz w:val="20"/>
          <w:szCs w:val="20"/>
        </w:rPr>
      </w:pPr>
    </w:p>
    <w:p w:rsidR="005A1337" w:rsidRDefault="005A1337">
      <w:pPr>
        <w:rPr>
          <w:rFonts w:ascii="Arial" w:eastAsia="Arial" w:hAnsi="Arial" w:cs="Arial"/>
          <w:sz w:val="20"/>
          <w:szCs w:val="20"/>
        </w:rPr>
      </w:pPr>
    </w:p>
    <w:p w:rsidR="005A1337" w:rsidRDefault="005A1337">
      <w:pPr>
        <w:rPr>
          <w:rFonts w:ascii="Arial" w:eastAsia="Arial" w:hAnsi="Arial" w:cs="Arial"/>
          <w:sz w:val="20"/>
          <w:szCs w:val="20"/>
        </w:rPr>
      </w:pPr>
    </w:p>
    <w:p w:rsidR="005A1337" w:rsidRDefault="005A1337">
      <w:pPr>
        <w:rPr>
          <w:rFonts w:ascii="Arial" w:eastAsia="Arial" w:hAnsi="Arial" w:cs="Arial"/>
          <w:sz w:val="20"/>
          <w:szCs w:val="20"/>
        </w:rPr>
      </w:pPr>
    </w:p>
    <w:p w:rsidR="007C4BC4" w:rsidRDefault="007C4BC4">
      <w:pPr>
        <w:rPr>
          <w:rFonts w:ascii="Arial" w:eastAsia="Arial" w:hAnsi="Arial" w:cs="Arial"/>
          <w:sz w:val="20"/>
          <w:szCs w:val="20"/>
        </w:rPr>
      </w:pPr>
    </w:p>
    <w:p w:rsidR="007C4BC4" w:rsidRDefault="007C4BC4">
      <w:pPr>
        <w:jc w:val="right"/>
        <w:rPr>
          <w:rFonts w:ascii="Arial" w:eastAsia="Arial" w:hAnsi="Arial" w:cs="Arial"/>
          <w:sz w:val="20"/>
          <w:szCs w:val="20"/>
        </w:rPr>
      </w:pPr>
    </w:p>
    <w:sectPr w:rsidR="007C4BC4">
      <w:headerReference w:type="even" r:id="rId11"/>
      <w:headerReference w:type="default" r:id="rId12"/>
      <w:footerReference w:type="even" r:id="rId13"/>
      <w:footerReference w:type="default" r:id="rId14"/>
      <w:footerReference w:type="first" r:id="rId15"/>
      <w:pgSz w:w="11907" w:h="16839"/>
      <w:pgMar w:top="1985" w:right="1985" w:bottom="1985" w:left="1985" w:header="720" w:footer="391"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C317B4" w:rsidRDefault="00C317B4">
      <w:pPr>
        <w:spacing w:after="0" w:line="240" w:lineRule="auto"/>
      </w:pPr>
      <w:r>
        <w:separator/>
      </w:r>
    </w:p>
  </w:endnote>
  <w:endnote w:type="continuationSeparator" w:id="0">
    <w:p w:rsidR="00C317B4" w:rsidRDefault="00C317B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AFF" w:usb1="C0007843" w:usb2="00000009" w:usb3="00000000" w:csb0="000001FF" w:csb1="00000000"/>
  </w:font>
  <w:font w:name="Garamond">
    <w:panose1 w:val="02020404030301010803"/>
    <w:charset w:val="00"/>
    <w:family w:val="roman"/>
    <w:pitch w:val="variable"/>
    <w:sig w:usb0="00000287" w:usb1="00000002" w:usb2="00000000" w:usb3="00000000" w:csb0="0000009F" w:csb1="00000000"/>
  </w:font>
  <w:font w:name="Tahoma">
    <w:panose1 w:val="020B0604030504040204"/>
    <w:charset w:val="00"/>
    <w:family w:val="swiss"/>
    <w:pitch w:val="variable"/>
    <w:sig w:usb0="E1002EFF" w:usb1="C000605B" w:usb2="00000029" w:usb3="00000000" w:csb0="000101FF" w:csb1="00000000"/>
  </w:font>
  <w:font w:name="Georgia">
    <w:panose1 w:val="02040502050405020303"/>
    <w:charset w:val="00"/>
    <w:family w:val="roman"/>
    <w:pitch w:val="variable"/>
    <w:sig w:usb0="00000287" w:usb1="00000000" w:usb2="00000000" w:usb3="00000000" w:csb0="0000009F" w:csb1="00000000"/>
  </w:font>
  <w:font w:name="Century Gothic">
    <w:panose1 w:val="020B0502020202020204"/>
    <w:charset w:val="00"/>
    <w:family w:val="swiss"/>
    <w:pitch w:val="variable"/>
    <w:sig w:usb0="00000287" w:usb1="00000000" w:usb2="00000000" w:usb3="00000000" w:csb0="0000009F" w:csb1="00000000"/>
  </w:font>
  <w:font w:name="Poppins">
    <w:panose1 w:val="00000500000000000000"/>
    <w:charset w:val="4D"/>
    <w:family w:val="auto"/>
    <w:pitch w:val="variable"/>
    <w:sig w:usb0="00008007" w:usb1="00000000" w:usb2="00000000" w:usb3="00000000" w:csb0="00000093"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7C4BC4" w:rsidRDefault="00000000">
    <w:pPr>
      <w:pBdr>
        <w:top w:val="nil"/>
        <w:left w:val="nil"/>
        <w:bottom w:val="nil"/>
        <w:right w:val="nil"/>
        <w:between w:val="nil"/>
      </w:pBdr>
      <w:tabs>
        <w:tab w:val="center" w:pos="4680"/>
        <w:tab w:val="right" w:pos="9360"/>
      </w:tabs>
      <w:spacing w:line="240" w:lineRule="auto"/>
      <w:jc w:val="right"/>
      <w:rPr>
        <w:rFonts w:ascii="Arial" w:eastAsia="Arial" w:hAnsi="Arial" w:cs="Arial"/>
        <w:color w:val="000000"/>
        <w:sz w:val="20"/>
        <w:szCs w:val="20"/>
      </w:rPr>
    </w:pPr>
    <w:r>
      <w:rPr>
        <w:rFonts w:ascii="Arial" w:eastAsia="Arial" w:hAnsi="Arial" w:cs="Arial"/>
        <w:color w:val="000000"/>
        <w:sz w:val="20"/>
        <w:szCs w:val="20"/>
      </w:rPr>
      <w:fldChar w:fldCharType="begin"/>
    </w:r>
    <w:r>
      <w:rPr>
        <w:rFonts w:ascii="Arial" w:eastAsia="Arial" w:hAnsi="Arial" w:cs="Arial"/>
        <w:color w:val="000000"/>
        <w:sz w:val="20"/>
        <w:szCs w:val="20"/>
      </w:rPr>
      <w:instrText>PAGE</w:instrText>
    </w:r>
    <w:r>
      <w:rPr>
        <w:rFonts w:ascii="Arial" w:eastAsia="Arial" w:hAnsi="Arial" w:cs="Arial"/>
        <w:color w:val="000000"/>
        <w:sz w:val="20"/>
        <w:szCs w:val="20"/>
      </w:rPr>
      <w:fldChar w:fldCharType="separate"/>
    </w:r>
    <w:r>
      <w:rPr>
        <w:rFonts w:ascii="Arial" w:eastAsia="Arial" w:hAnsi="Arial" w:cs="Arial"/>
        <w:color w:val="000000"/>
        <w:sz w:val="20"/>
        <w:szCs w:val="20"/>
      </w:rPr>
      <w:fldChar w:fldCharType="end"/>
    </w:r>
    <w:r>
      <w:rPr>
        <w:noProof/>
      </w:rPr>
      <mc:AlternateContent>
        <mc:Choice Requires="wps">
          <w:drawing>
            <wp:anchor distT="0" distB="0" distL="114300" distR="114300" simplePos="0" relativeHeight="251660288" behindDoc="0" locked="0" layoutInCell="1" hidden="0" allowOverlap="1">
              <wp:simplePos x="0" y="0"/>
              <wp:positionH relativeFrom="column">
                <wp:posOffset>5461000</wp:posOffset>
              </wp:positionH>
              <wp:positionV relativeFrom="paragraph">
                <wp:posOffset>-63499</wp:posOffset>
              </wp:positionV>
              <wp:extent cx="1333500" cy="323850"/>
              <wp:effectExtent l="0" t="0" r="0" b="0"/>
              <wp:wrapNone/>
              <wp:docPr id="38" name="Persegi Panjang 38"/>
              <wp:cNvGraphicFramePr/>
              <a:graphic xmlns:a="http://schemas.openxmlformats.org/drawingml/2006/main">
                <a:graphicData uri="http://schemas.microsoft.com/office/word/2010/wordprocessingShape">
                  <wps:wsp>
                    <wps:cNvSpPr/>
                    <wps:spPr>
                      <a:xfrm>
                        <a:off x="4688775" y="3627600"/>
                        <a:ext cx="1314450" cy="304800"/>
                      </a:xfrm>
                      <a:prstGeom prst="rect">
                        <a:avLst/>
                      </a:prstGeom>
                      <a:solidFill>
                        <a:srgbClr val="D8D8D8"/>
                      </a:solidFill>
                      <a:ln>
                        <a:noFill/>
                      </a:ln>
                    </wps:spPr>
                    <wps:txbx>
                      <w:txbxContent>
                        <w:p w:rsidR="007C4BC4" w:rsidRDefault="007C4BC4">
                          <w:pPr>
                            <w:spacing w:after="0" w:line="240" w:lineRule="auto"/>
                            <w:textDirection w:val="btLr"/>
                          </w:pPr>
                        </w:p>
                      </w:txbxContent>
                    </wps:txbx>
                    <wps:bodyPr spcFirstLastPara="1" wrap="square" lIns="91425" tIns="91425" rIns="91425" bIns="91425" anchor="ctr" anchorCtr="0">
                      <a:noAutofit/>
                    </wps:bodyPr>
                  </wps:wsp>
                </a:graphicData>
              </a:graphic>
            </wp:anchor>
          </w:drawing>
        </mc:Choice>
        <mc:Fallback>
          <w:pict>
            <v:rect id="Persegi Panjang 38" o:spid="_x0000_s1033" style="position:absolute;left:0;text-align:left;margin-left:430pt;margin-top:-5pt;width:105pt;height:25.5pt;z-index:25166028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" fillcolor="#d8d8d8" stroked="f">
              <v:textbox inset="2.53958mm,2.53958mm,2.53958mm,2.53958mm">
                <w:txbxContent>
                  <w:p w:rsidR="007C4BC4" w:rsidRDefault="007C4BC4">
                    <w:pPr>
                      <w:spacing w:after="0" w:line="240" w:lineRule="auto"/>
                      <w:textDirection w:val="btLr"/>
                    </w:pPr>
                  </w:p>
                </w:txbxContent>
              </v:textbox>
            </v:rect>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7C4BC4" w:rsidRDefault="00000000">
    <w:pPr>
      <w:pBdr>
        <w:top w:val="nil"/>
        <w:left w:val="nil"/>
        <w:bottom w:val="nil"/>
        <w:right w:val="nil"/>
        <w:between w:val="nil"/>
      </w:pBdr>
      <w:tabs>
        <w:tab w:val="center" w:pos="4680"/>
        <w:tab w:val="right" w:pos="9360"/>
      </w:tabs>
      <w:jc w:val="center"/>
      <w:rPr>
        <w:rFonts w:ascii="Arial" w:eastAsia="Arial" w:hAnsi="Arial" w:cs="Arial"/>
        <w:color w:val="000000"/>
        <w:sz w:val="16"/>
        <w:szCs w:val="16"/>
      </w:rPr>
    </w:pPr>
    <w:r>
      <w:rPr>
        <w:rFonts w:ascii="Arial" w:eastAsia="Arial" w:hAnsi="Arial" w:cs="Arial"/>
        <w:color w:val="000000"/>
        <w:sz w:val="16"/>
        <w:szCs w:val="16"/>
      </w:rPr>
      <w:t xml:space="preserve">Page | </w:t>
    </w:r>
    <w:r>
      <w:rPr>
        <w:rFonts w:ascii="Arial" w:eastAsia="Arial" w:hAnsi="Arial" w:cs="Arial"/>
        <w:color w:val="000000"/>
        <w:sz w:val="16"/>
        <w:szCs w:val="16"/>
      </w:rPr>
      <w:fldChar w:fldCharType="begin"/>
    </w:r>
    <w:r>
      <w:rPr>
        <w:rFonts w:ascii="Arial" w:eastAsia="Arial" w:hAnsi="Arial" w:cs="Arial"/>
        <w:color w:val="000000"/>
        <w:sz w:val="16"/>
        <w:szCs w:val="16"/>
      </w:rPr>
      <w:instrText>PAGE</w:instrText>
    </w:r>
    <w:r>
      <w:rPr>
        <w:rFonts w:ascii="Arial" w:eastAsia="Arial" w:hAnsi="Arial" w:cs="Arial"/>
        <w:color w:val="000000"/>
        <w:sz w:val="16"/>
        <w:szCs w:val="16"/>
      </w:rPr>
      <w:fldChar w:fldCharType="separate"/>
    </w:r>
    <w:r w:rsidR="0059603A">
      <w:rPr>
        <w:rFonts w:ascii="Arial" w:eastAsia="Arial" w:hAnsi="Arial" w:cs="Arial"/>
        <w:noProof/>
        <w:color w:val="000000"/>
        <w:sz w:val="16"/>
        <w:szCs w:val="16"/>
      </w:rPr>
      <w:t>1</w:t>
    </w:r>
    <w:r>
      <w:rPr>
        <w:rFonts w:ascii="Arial" w:eastAsia="Arial" w:hAnsi="Arial" w:cs="Arial"/>
        <w:color w:val="000000"/>
        <w:sz w:val="16"/>
        <w:szCs w:val="16"/>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7C4BC4" w:rsidRDefault="00000000">
    <w:pPr>
      <w:pBdr>
        <w:top w:val="single" w:sz="24" w:space="1" w:color="622423"/>
        <w:left w:val="nil"/>
        <w:bottom w:val="nil"/>
        <w:right w:val="nil"/>
        <w:between w:val="nil"/>
      </w:pBdr>
      <w:tabs>
        <w:tab w:val="center" w:pos="4680"/>
        <w:tab w:val="right" w:pos="9360"/>
        <w:tab w:val="right" w:pos="8505"/>
      </w:tabs>
      <w:rPr>
        <w:rFonts w:ascii="Cambria" w:eastAsia="Cambria" w:hAnsi="Cambria" w:cs="Cambria"/>
        <w:color w:val="000000"/>
      </w:rPr>
    </w:pPr>
    <w:r>
      <w:rPr>
        <w:rFonts w:ascii="Cambria" w:eastAsia="Cambria" w:hAnsi="Cambria" w:cs="Cambria"/>
        <w:color w:val="000000"/>
        <w:sz w:val="18"/>
        <w:szCs w:val="18"/>
      </w:rPr>
      <w:t>Evaluation Of Group Counseling Program…</w:t>
    </w:r>
    <w:r>
      <w:rPr>
        <w:rFonts w:ascii="Cambria" w:eastAsia="Cambria" w:hAnsi="Cambria" w:cs="Cambria"/>
        <w:color w:val="000000"/>
        <w:sz w:val="18"/>
        <w:szCs w:val="18"/>
      </w:rPr>
      <w:tab/>
    </w:r>
    <w:r>
      <w:rPr>
        <w:color w:val="000000"/>
      </w:rPr>
      <w:fldChar w:fldCharType="begin"/>
    </w:r>
    <w:r>
      <w:rPr>
        <w:color w:val="000000"/>
      </w:rPr>
      <w:instrText>PAGE</w:instrText>
    </w:r>
    <w:r>
      <w:rPr>
        <w:color w:val="000000"/>
      </w:rPr>
      <w:fldChar w:fldCharType="separate"/>
    </w:r>
    <w:r>
      <w:rPr>
        <w:color w:val="00000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C317B4" w:rsidRDefault="00C317B4">
      <w:pPr>
        <w:spacing w:after="0" w:line="240" w:lineRule="auto"/>
      </w:pPr>
      <w:r>
        <w:separator/>
      </w:r>
    </w:p>
  </w:footnote>
  <w:footnote w:type="continuationSeparator" w:id="0">
    <w:p w:rsidR="00C317B4" w:rsidRDefault="00C317B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7C4BC4" w:rsidRDefault="007C4BC4">
    <w:pPr>
      <w:widowControl w:val="0"/>
      <w:pBdr>
        <w:top w:val="nil"/>
        <w:left w:val="nil"/>
        <w:bottom w:val="nil"/>
        <w:right w:val="nil"/>
        <w:between w:val="nil"/>
      </w:pBdr>
      <w:spacing w:after="0"/>
      <w:rPr>
        <w:rFonts w:ascii="Arial" w:eastAsia="Arial" w:hAnsi="Arial" w:cs="Arial"/>
        <w:color w:val="000000"/>
        <w:sz w:val="18"/>
        <w:szCs w:val="18"/>
      </w:rPr>
    </w:pPr>
  </w:p>
  <w:tbl>
    <w:tblPr>
      <w:tblStyle w:val="a9"/>
      <w:tblW w:w="9016" w:type="dxa"/>
      <w:jc w:val="center"/>
      <w:tblBorders>
        <w:top w:val="nil"/>
        <w:left w:val="nil"/>
        <w:bottom w:val="single" w:sz="4" w:space="0" w:color="000000"/>
        <w:right w:val="nil"/>
        <w:insideH w:val="nil"/>
        <w:insideV w:val="nil"/>
      </w:tblBorders>
      <w:tblLayout w:type="fixed"/>
      <w:tblLook w:val="0400" w:firstRow="0" w:lastRow="0" w:firstColumn="0" w:lastColumn="0" w:noHBand="0" w:noVBand="1"/>
    </w:tblPr>
    <w:tblGrid>
      <w:gridCol w:w="8360"/>
      <w:gridCol w:w="656"/>
    </w:tblGrid>
    <w:tr w:rsidR="007C4BC4">
      <w:trPr>
        <w:trHeight w:val="149"/>
        <w:jc w:val="center"/>
      </w:trPr>
      <w:tc>
        <w:tcPr>
          <w:tcW w:w="8360" w:type="dxa"/>
        </w:tcPr>
        <w:p w:rsidR="007C4BC4" w:rsidRDefault="00000000">
          <w:pPr>
            <w:pBdr>
              <w:top w:val="nil"/>
              <w:left w:val="nil"/>
              <w:bottom w:val="nil"/>
              <w:right w:val="nil"/>
              <w:between w:val="nil"/>
            </w:pBdr>
            <w:tabs>
              <w:tab w:val="center" w:pos="4680"/>
              <w:tab w:val="right" w:pos="9360"/>
            </w:tabs>
            <w:ind w:left="-113"/>
            <w:rPr>
              <w:rFonts w:ascii="Arial" w:eastAsia="Arial" w:hAnsi="Arial" w:cs="Arial"/>
              <w:sz w:val="18"/>
              <w:szCs w:val="18"/>
            </w:rPr>
          </w:pPr>
          <w:r>
            <w:rPr>
              <w:rFonts w:ascii="Arial" w:eastAsia="Arial" w:hAnsi="Arial" w:cs="Arial"/>
              <w:sz w:val="18"/>
              <w:szCs w:val="18"/>
            </w:rPr>
            <w:t>Author 1, Author 2</w:t>
          </w:r>
        </w:p>
      </w:tc>
      <w:tc>
        <w:tcPr>
          <w:tcW w:w="656" w:type="dxa"/>
        </w:tcPr>
        <w:p w:rsidR="007C4BC4" w:rsidRDefault="007C4BC4">
          <w:pPr>
            <w:pBdr>
              <w:top w:val="nil"/>
              <w:left w:val="nil"/>
              <w:bottom w:val="nil"/>
              <w:right w:val="nil"/>
              <w:between w:val="nil"/>
            </w:pBdr>
            <w:tabs>
              <w:tab w:val="center" w:pos="4680"/>
              <w:tab w:val="right" w:pos="9360"/>
            </w:tabs>
            <w:jc w:val="right"/>
            <w:rPr>
              <w:rFonts w:ascii="Arial" w:eastAsia="Arial" w:hAnsi="Arial" w:cs="Arial"/>
              <w:sz w:val="18"/>
              <w:szCs w:val="18"/>
            </w:rPr>
          </w:pPr>
        </w:p>
      </w:tc>
    </w:tr>
  </w:tbl>
  <w:p w:rsidR="007C4BC4" w:rsidRDefault="007C4BC4">
    <w:pPr>
      <w:pBdr>
        <w:top w:val="nil"/>
        <w:left w:val="nil"/>
        <w:bottom w:val="nil"/>
        <w:right w:val="nil"/>
        <w:between w:val="nil"/>
      </w:pBdr>
      <w:tabs>
        <w:tab w:val="center" w:pos="4680"/>
        <w:tab w:val="right" w:pos="9360"/>
      </w:tabs>
      <w:rPr>
        <w:rFonts w:ascii="Arial" w:eastAsia="Arial" w:hAnsi="Arial" w:cs="Arial"/>
        <w:color w:val="000000"/>
        <w:sz w:val="18"/>
        <w:szCs w:val="18"/>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7C4BC4" w:rsidRDefault="00000000">
    <w:pPr>
      <w:pBdr>
        <w:top w:val="nil"/>
        <w:left w:val="nil"/>
        <w:bottom w:val="nil"/>
        <w:right w:val="nil"/>
        <w:between w:val="nil"/>
      </w:pBdr>
      <w:tabs>
        <w:tab w:val="center" w:pos="4680"/>
        <w:tab w:val="right" w:pos="9360"/>
      </w:tabs>
      <w:spacing w:after="0" w:line="240" w:lineRule="auto"/>
      <w:jc w:val="center"/>
      <w:rPr>
        <w:rFonts w:ascii="Poppins" w:eastAsia="Poppins" w:hAnsi="Poppins" w:cs="Poppins"/>
        <w:color w:val="000000"/>
        <w:sz w:val="12"/>
        <w:szCs w:val="12"/>
      </w:rPr>
    </w:pPr>
    <w:r>
      <w:rPr>
        <w:rFonts w:ascii="Poppins" w:eastAsia="Poppins" w:hAnsi="Poppins" w:cs="Poppins"/>
        <w:color w:val="000000"/>
        <w:sz w:val="12"/>
        <w:szCs w:val="12"/>
      </w:rPr>
      <w:t>GUIDENA: Jurnal Ilmu Pendidikan, Psikologi, Bimbingan dan Konseling</w:t>
    </w:r>
    <w:r>
      <w:rPr>
        <w:noProof/>
      </w:rPr>
      <mc:AlternateContent>
        <mc:Choice Requires="wpg">
          <w:drawing>
            <wp:anchor distT="0" distB="0" distL="114300" distR="114300" simplePos="0" relativeHeight="251658240" behindDoc="0" locked="0" layoutInCell="1" hidden="0" allowOverlap="1">
              <wp:simplePos x="0" y="0"/>
              <wp:positionH relativeFrom="column">
                <wp:posOffset>3975100</wp:posOffset>
              </wp:positionH>
              <wp:positionV relativeFrom="paragraph">
                <wp:posOffset>0</wp:posOffset>
              </wp:positionV>
              <wp:extent cx="1062672" cy="254000"/>
              <wp:effectExtent l="0" t="0" r="0" b="0"/>
              <wp:wrapNone/>
              <wp:docPr id="39" name="Grup 39"/>
              <wp:cNvGraphicFramePr/>
              <a:graphic xmlns:a="http://schemas.openxmlformats.org/drawingml/2006/main">
                <a:graphicData uri="http://schemas.microsoft.com/office/word/2010/wordprocessingGroup">
                  <wpg:wgp>
                    <wpg:cNvGrpSpPr/>
                    <wpg:grpSpPr>
                      <a:xfrm>
                        <a:off x="0" y="0"/>
                        <a:ext cx="1062672" cy="254000"/>
                        <a:chOff x="4814650" y="3632750"/>
                        <a:chExt cx="1062700" cy="274250"/>
                      </a:xfrm>
                    </wpg:grpSpPr>
                    <wpg:grpSp>
                      <wpg:cNvPr id="1529467030" name="Grup 1529467030"/>
                      <wpg:cNvGrpSpPr/>
                      <wpg:grpSpPr>
                        <a:xfrm>
                          <a:off x="4814664" y="3653000"/>
                          <a:ext cx="1062672" cy="254000"/>
                          <a:chOff x="0" y="24377"/>
                          <a:chExt cx="1181735" cy="254000"/>
                        </a:xfrm>
                      </wpg:grpSpPr>
                      <wps:wsp>
                        <wps:cNvPr id="1326237277" name="Persegi Panjang 1326237277"/>
                        <wps:cNvSpPr/>
                        <wps:spPr>
                          <a:xfrm>
                            <a:off x="0" y="24377"/>
                            <a:ext cx="1181725" cy="254000"/>
                          </a:xfrm>
                          <a:prstGeom prst="rect">
                            <a:avLst/>
                          </a:prstGeom>
                          <a:noFill/>
                          <a:ln>
                            <a:noFill/>
                          </a:ln>
                        </wps:spPr>
                        <wps:txbx>
                          <w:txbxContent>
                            <w:p w:rsidR="007C4BC4" w:rsidRDefault="007C4BC4">
                              <w:pPr>
                                <w:spacing w:after="0" w:line="240" w:lineRule="auto"/>
                                <w:textDirection w:val="btLr"/>
                              </w:pPr>
                            </w:p>
                          </w:txbxContent>
                        </wps:txbx>
                        <wps:bodyPr spcFirstLastPara="1" wrap="square" lIns="91425" tIns="91425" rIns="91425" bIns="91425" anchor="ctr" anchorCtr="0">
                          <a:noAutofit/>
                        </wps:bodyPr>
                      </wps:wsp>
                      <wpg:grpSp>
                        <wpg:cNvPr id="1714253356" name="Grup 1714253356"/>
                        <wpg:cNvGrpSpPr/>
                        <wpg:grpSpPr>
                          <a:xfrm>
                            <a:off x="1111250" y="44450"/>
                            <a:ext cx="70485" cy="198000"/>
                            <a:chOff x="10289" y="745"/>
                            <a:chExt cx="168" cy="510"/>
                          </a:xfrm>
                        </wpg:grpSpPr>
                        <wps:wsp>
                          <wps:cNvPr id="1763774099" name="Persegi Panjang 1763774099"/>
                          <wps:cNvSpPr/>
                          <wps:spPr>
                            <a:xfrm>
                              <a:off x="10289" y="745"/>
                              <a:ext cx="57" cy="510"/>
                            </a:xfrm>
                            <a:prstGeom prst="rect">
                              <a:avLst/>
                            </a:prstGeom>
                            <a:solidFill>
                              <a:srgbClr val="FF0000"/>
                            </a:solidFill>
                            <a:ln>
                              <a:noFill/>
                            </a:ln>
                          </wps:spPr>
                          <wps:txbx>
                            <w:txbxContent>
                              <w:p w:rsidR="007C4BC4" w:rsidRDefault="007C4BC4">
                                <w:pPr>
                                  <w:spacing w:after="0" w:line="240" w:lineRule="auto"/>
                                  <w:textDirection w:val="btLr"/>
                                </w:pPr>
                              </w:p>
                            </w:txbxContent>
                          </wps:txbx>
                          <wps:bodyPr spcFirstLastPara="1" wrap="square" lIns="91425" tIns="91425" rIns="91425" bIns="91425" anchor="ctr" anchorCtr="0">
                            <a:noAutofit/>
                          </wps:bodyPr>
                        </wps:wsp>
                        <wps:wsp>
                          <wps:cNvPr id="867450484" name="Persegi Panjang 867450484"/>
                          <wps:cNvSpPr/>
                          <wps:spPr>
                            <a:xfrm>
                              <a:off x="10372" y="745"/>
                              <a:ext cx="85" cy="510"/>
                            </a:xfrm>
                            <a:prstGeom prst="rect">
                              <a:avLst/>
                            </a:prstGeom>
                            <a:solidFill>
                              <a:srgbClr val="FF0000"/>
                            </a:solidFill>
                            <a:ln>
                              <a:noFill/>
                            </a:ln>
                          </wps:spPr>
                          <wps:txbx>
                            <w:txbxContent>
                              <w:p w:rsidR="007C4BC4" w:rsidRDefault="007C4BC4">
                                <w:pPr>
                                  <w:spacing w:after="0" w:line="240" w:lineRule="auto"/>
                                  <w:textDirection w:val="btLr"/>
                                </w:pPr>
                              </w:p>
                            </w:txbxContent>
                          </wps:txbx>
                          <wps:bodyPr spcFirstLastPara="1" wrap="square" lIns="91425" tIns="91425" rIns="91425" bIns="91425" anchor="ctr" anchorCtr="0">
                            <a:noAutofit/>
                          </wps:bodyPr>
                        </wps:wsp>
                      </wpg:grpSp>
                      <wps:wsp>
                        <wps:cNvPr id="39807595" name="Persegi Panjang 39807595"/>
                        <wps:cNvSpPr/>
                        <wps:spPr>
                          <a:xfrm>
                            <a:off x="0" y="24377"/>
                            <a:ext cx="1116330" cy="254000"/>
                          </a:xfrm>
                          <a:prstGeom prst="rect">
                            <a:avLst/>
                          </a:prstGeom>
                          <a:noFill/>
                          <a:ln>
                            <a:noFill/>
                          </a:ln>
                        </wps:spPr>
                        <wps:txbx>
                          <w:txbxContent>
                            <w:p w:rsidR="007C4BC4" w:rsidRDefault="00000000">
                              <w:pPr>
                                <w:spacing w:line="275" w:lineRule="auto"/>
                                <w:jc w:val="center"/>
                                <w:textDirection w:val="btLr"/>
                              </w:pPr>
                              <w:r>
                                <w:rPr>
                                  <w:rFonts w:ascii="Poppins" w:eastAsia="Poppins" w:hAnsi="Poppins" w:cs="Poppins"/>
                                  <w:color w:val="FF0000"/>
                                  <w:sz w:val="32"/>
                                </w:rPr>
                                <w:t>GUIDENA</w:t>
                              </w:r>
                            </w:p>
                          </w:txbxContent>
                        </wps:txbx>
                        <wps:bodyPr spcFirstLastPara="1" wrap="square" lIns="0" tIns="0" rIns="0" bIns="0" anchor="ctr" anchorCtr="0">
                          <a:noAutofit/>
                        </wps:bodyPr>
                      </wps:wsp>
                    </wpg:grpSp>
                  </wpg:wgp>
                </a:graphicData>
              </a:graphic>
            </wp:anchor>
          </w:drawing>
        </mc:Choice>
        <mc:Fallback>
          <w:pict>
            <v:group id="Grup 39" o:spid="_x0000_s1026" style="position:absolute;left:0;text-align:left;margin-left:313pt;margin-top:0;width:83.65pt;height:20pt;z-index:251658240" coordorigin="48146,36327" coordsize="10627,2742"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">
              <v:group id="Grup 1529467030" o:spid="_x0000_s1027" style="position:absolute;left:48146;top:36530;width:10627;height:2540" coordorigin=",243" coordsize="11817,254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">
                <v:rect id="Persegi Panjang 1326237277" o:spid="_x0000_s1028" style="position:absolute;top:243;width:11817;height:2540;visibility:visible;mso-wrap-style:square;v-text-anchor:middl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" filled="f" stroked="f">
                  <v:textbox inset="2.53958mm,2.53958mm,2.53958mm,2.53958mm">
                    <w:txbxContent>
                      <w:p w:rsidR="007C4BC4" w:rsidRDefault="007C4BC4">
                        <w:pPr>
                          <w:spacing w:after="0" w:line="240" w:lineRule="auto"/>
                          <w:textDirection w:val="btLr"/>
                        </w:pPr>
                      </w:p>
                    </w:txbxContent>
                  </v:textbox>
                </v:rect>
                <v:group id="Grup 1714253356" o:spid="_x0000_s1029" style="position:absolute;left:11112;top:444;width:705;height:1980" coordorigin="10289,745" coordsize="168,51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">
                  <v:rect id="Persegi Panjang 1763774099" o:spid="_x0000_s1030" style="position:absolute;left:10289;top:745;width:57;height:510;visibility:visible;mso-wrap-style:square;v-text-anchor:middl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" fillcolor="red" stroked="f">
                    <v:textbox inset="2.53958mm,2.53958mm,2.53958mm,2.53958mm">
                      <w:txbxContent>
                        <w:p w:rsidR="007C4BC4" w:rsidRDefault="007C4BC4">
                          <w:pPr>
                            <w:spacing w:after="0" w:line="240" w:lineRule="auto"/>
                            <w:textDirection w:val="btLr"/>
                          </w:pPr>
                        </w:p>
                      </w:txbxContent>
                    </v:textbox>
                  </v:rect>
                  <v:rect id="Persegi Panjang 867450484" o:spid="_x0000_s1031" style="position:absolute;left:10372;top:745;width:85;height:510;visibility:visible;mso-wrap-style:square;v-text-anchor:middl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" fillcolor="red" stroked="f">
                    <v:textbox inset="2.53958mm,2.53958mm,2.53958mm,2.53958mm">
                      <w:txbxContent>
                        <w:p w:rsidR="007C4BC4" w:rsidRDefault="007C4BC4">
                          <w:pPr>
                            <w:spacing w:after="0" w:line="240" w:lineRule="auto"/>
                            <w:textDirection w:val="btLr"/>
                          </w:pPr>
                        </w:p>
                      </w:txbxContent>
                    </v:textbox>
                  </v:rect>
                </v:group>
                <v:rect id="Persegi Panjang 39807595" o:spid="_x0000_s1032" style="position:absolute;top:243;width:11163;height:2540;visibility:visible;mso-wrap-style:square;v-text-anchor:middl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" filled="f" stroked="f">
                  <v:textbox inset="0,0,0,0">
                    <w:txbxContent>
                      <w:p w:rsidR="007C4BC4" w:rsidRDefault="00000000">
                        <w:pPr>
                          <w:spacing w:line="275" w:lineRule="auto"/>
                          <w:jc w:val="center"/>
                          <w:textDirection w:val="btLr"/>
                        </w:pPr>
                        <w:r>
                          <w:rPr>
                            <w:rFonts w:ascii="Poppins" w:eastAsia="Poppins" w:hAnsi="Poppins" w:cs="Poppins"/>
                            <w:color w:val="FF0000"/>
                            <w:sz w:val="32"/>
                          </w:rPr>
                          <w:t>GUIDENA</w:t>
                        </w:r>
                      </w:p>
                    </w:txbxContent>
                  </v:textbox>
                </v:rect>
              </v:group>
            </v:group>
          </w:pict>
        </mc:Fallback>
      </mc:AlternateContent>
    </w:r>
  </w:p>
  <w:p w:rsidR="007C4BC4" w:rsidRDefault="00000000">
    <w:pPr>
      <w:pBdr>
        <w:top w:val="nil"/>
        <w:left w:val="nil"/>
        <w:bottom w:val="nil"/>
        <w:right w:val="nil"/>
        <w:between w:val="nil"/>
      </w:pBdr>
      <w:tabs>
        <w:tab w:val="center" w:pos="4680"/>
        <w:tab w:val="right" w:pos="9360"/>
      </w:tabs>
      <w:spacing w:after="0" w:line="240" w:lineRule="auto"/>
      <w:jc w:val="center"/>
      <w:rPr>
        <w:rFonts w:ascii="Poppins" w:eastAsia="Poppins" w:hAnsi="Poppins" w:cs="Poppins"/>
        <w:color w:val="000000"/>
        <w:sz w:val="12"/>
        <w:szCs w:val="12"/>
      </w:rPr>
    </w:pPr>
    <w:r>
      <w:rPr>
        <w:rFonts w:ascii="Poppins" w:eastAsia="Poppins" w:hAnsi="Poppins" w:cs="Poppins"/>
        <w:color w:val="000000"/>
        <w:sz w:val="12"/>
        <w:szCs w:val="12"/>
      </w:rPr>
      <w:t xml:space="preserve">ISSN: </w:t>
    </w:r>
    <w:r>
      <w:rPr>
        <w:rFonts w:ascii="Poppins" w:eastAsia="Poppins" w:hAnsi="Poppins" w:cs="Poppins"/>
        <w:color w:val="0000FF"/>
        <w:sz w:val="12"/>
        <w:szCs w:val="12"/>
      </w:rPr>
      <w:t>2088</w:t>
    </w:r>
    <w:r>
      <w:rPr>
        <w:rFonts w:ascii="Poppins" w:eastAsia="Poppins" w:hAnsi="Poppins" w:cs="Poppins"/>
        <w:color w:val="000000"/>
        <w:sz w:val="12"/>
        <w:szCs w:val="12"/>
      </w:rPr>
      <w:t>-</w:t>
    </w:r>
    <w:r>
      <w:rPr>
        <w:rFonts w:ascii="Poppins" w:eastAsia="Poppins" w:hAnsi="Poppins" w:cs="Poppins"/>
        <w:color w:val="0000FF"/>
        <w:sz w:val="12"/>
        <w:szCs w:val="12"/>
      </w:rPr>
      <w:t>9623</w:t>
    </w:r>
    <w:r>
      <w:rPr>
        <w:rFonts w:ascii="Poppins" w:eastAsia="Poppins" w:hAnsi="Poppins" w:cs="Poppins"/>
        <w:color w:val="000000"/>
        <w:sz w:val="12"/>
        <w:szCs w:val="12"/>
      </w:rPr>
      <w:t xml:space="preserve"> (Print) - ISSN: </w:t>
    </w:r>
    <w:r>
      <w:rPr>
        <w:rFonts w:ascii="Poppins" w:eastAsia="Poppins" w:hAnsi="Poppins" w:cs="Poppins"/>
        <w:color w:val="0000FF"/>
        <w:sz w:val="12"/>
        <w:szCs w:val="12"/>
      </w:rPr>
      <w:t>2442</w:t>
    </w:r>
    <w:r>
      <w:rPr>
        <w:rFonts w:ascii="Poppins" w:eastAsia="Poppins" w:hAnsi="Poppins" w:cs="Poppins"/>
        <w:color w:val="000000"/>
        <w:sz w:val="12"/>
        <w:szCs w:val="12"/>
      </w:rPr>
      <w:t>-</w:t>
    </w:r>
    <w:r>
      <w:rPr>
        <w:rFonts w:ascii="Poppins" w:eastAsia="Poppins" w:hAnsi="Poppins" w:cs="Poppins"/>
        <w:color w:val="0000FF"/>
        <w:sz w:val="12"/>
        <w:szCs w:val="12"/>
      </w:rPr>
      <w:t>7802</w:t>
    </w:r>
    <w:r>
      <w:rPr>
        <w:rFonts w:ascii="Poppins" w:eastAsia="Poppins" w:hAnsi="Poppins" w:cs="Poppins"/>
        <w:color w:val="000000"/>
        <w:sz w:val="12"/>
        <w:szCs w:val="12"/>
      </w:rPr>
      <w:t xml:space="preserve"> (Online)</w:t>
    </w:r>
  </w:p>
  <w:p w:rsidR="007C4BC4" w:rsidRDefault="00000000">
    <w:pPr>
      <w:pBdr>
        <w:top w:val="nil"/>
        <w:left w:val="nil"/>
        <w:bottom w:val="nil"/>
        <w:right w:val="nil"/>
        <w:between w:val="nil"/>
      </w:pBdr>
      <w:tabs>
        <w:tab w:val="center" w:pos="4680"/>
        <w:tab w:val="right" w:pos="9360"/>
      </w:tabs>
      <w:jc w:val="center"/>
      <w:rPr>
        <w:rFonts w:ascii="Poppins" w:eastAsia="Poppins" w:hAnsi="Poppins" w:cs="Poppins"/>
        <w:color w:val="000000"/>
        <w:sz w:val="12"/>
        <w:szCs w:val="12"/>
      </w:rPr>
    </w:pPr>
    <w:r>
      <w:rPr>
        <w:noProof/>
      </w:rPr>
      <mc:AlternateContent>
        <mc:Choice Requires="wpg">
          <w:drawing>
            <wp:anchor distT="0" distB="0" distL="114300" distR="114300" simplePos="0" relativeHeight="251659264" behindDoc="0" locked="0" layoutInCell="1" hidden="0" allowOverlap="1">
              <wp:simplePos x="0" y="0"/>
              <wp:positionH relativeFrom="column">
                <wp:posOffset>1</wp:posOffset>
              </wp:positionH>
              <wp:positionV relativeFrom="paragraph">
                <wp:posOffset>127000</wp:posOffset>
              </wp:positionV>
              <wp:extent cx="5030851" cy="12700"/>
              <wp:effectExtent l="0" t="0" r="0" b="0"/>
              <wp:wrapNone/>
              <wp:docPr id="40" name="Konektor Panah Lurus 40"/>
              <wp:cNvGraphicFramePr/>
              <a:graphic xmlns:a="http://schemas.openxmlformats.org/drawingml/2006/main">
                <a:graphicData uri="http://schemas.microsoft.com/office/word/2010/wordprocessingShape">
                  <wps:wsp>
                    <wps:cNvCnPr/>
                    <wps:spPr>
                      <a:xfrm>
                        <a:off x="2830575" y="3780000"/>
                        <a:ext cx="5030851" cy="0"/>
                      </a:xfrm>
                      <a:prstGeom prst="straightConnector1">
                        <a:avLst/>
                      </a:prstGeom>
                      <a:noFill/>
                      <a:ln w="9525" cap="flat" cmpd="sng">
                        <a:solidFill>
                          <a:schemeClr val="dk1"/>
                        </a:solidFill>
                        <a:prstDash val="solid"/>
                        <a:round/>
                        <a:headEnd type="none" w="sm" len="sm"/>
                        <a:tailEnd type="none" w="sm" len="sm"/>
                      </a:ln>
                    </wps:spPr>
                    <wps:bodyPr/>
                  </wps:wsp>
                </a:graphicData>
              </a:graphic>
            </wp:anchor>
          </w:drawing>
        </mc:Choice>
        <mc:Fallback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anchor allowOverlap="1" behindDoc="0" distB="0" distT="0" distL="114300" distR="114300" hidden="0" layoutInCell="1" locked="0" relativeHeight="0" simplePos="0">
              <wp:simplePos x="0" y="0"/>
              <wp:positionH relativeFrom="column">
                <wp:posOffset>1</wp:posOffset>
              </wp:positionH>
              <wp:positionV relativeFrom="paragraph">
                <wp:posOffset>127000</wp:posOffset>
              </wp:positionV>
              <wp:extent cx="5030851" cy="12700"/>
              <wp:effectExtent b="0" l="0" r="0" t="0"/>
              <wp:wrapNone/>
              <wp:docPr id="40" name="image4.png"/>
              <a:graphic>
                <a:graphicData uri="http://schemas.openxmlformats.org/drawingml/2006/picture">
                  <pic:pic>
                    <pic:nvPicPr>
                      <pic:cNvPr id="0" name="image4.png"/>
                      <pic:cNvPicPr preferRelativeResize="0"/>
                    </pic:nvPicPr>
                    <pic:blipFill>
                      <a:blip r:embed="rId3"/>
                      <a:srcRect/>
                      <a:stretch>
                        <a:fillRect/>
                      </a:stretch>
                    </pic:blipFill>
                    <pic:spPr>
                      <a:xfrm>
                        <a:off x="0" y="0"/>
                        <a:ext cx="5030851" cy="12700"/>
                      </a:xfrm>
                      <a:prstGeom prst="rect"/>
                      <a:ln/>
                    </pic:spPr>
                  </pic:pic>
                </a:graphicData>
              </a:graphic>
            </wp:anchor>
          </w:drawing>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F74F79"/>
    <w:multiLevelType w:val="multilevel"/>
    <w:tmpl w:val="30F2203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559B6215"/>
    <w:multiLevelType w:val="hybridMultilevel"/>
    <w:tmpl w:val="B666F250"/>
    <w:lvl w:ilvl="0" w:tplc="0421000F">
      <w:start w:val="1"/>
      <w:numFmt w:val="decimal"/>
      <w:lvlText w:val="%1."/>
      <w:lvlJc w:val="left"/>
      <w:pPr>
        <w:ind w:left="720" w:hanging="360"/>
      </w:pPr>
    </w:lvl>
    <w:lvl w:ilvl="1" w:tplc="8BAA7DBA">
      <w:start w:val="1"/>
      <w:numFmt w:val="upperLetter"/>
      <w:lvlText w:val="%2."/>
      <w:lvlJc w:val="left"/>
      <w:pPr>
        <w:ind w:left="1440" w:hanging="360"/>
      </w:pPr>
      <w:rPr>
        <w:rFonts w:hint="default"/>
      </w:r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 w15:restartNumberingAfterBreak="0">
    <w:nsid w:val="5D652A35"/>
    <w:multiLevelType w:val="hybridMultilevel"/>
    <w:tmpl w:val="BCF6CE96"/>
    <w:lvl w:ilvl="0" w:tplc="0421000F">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num w:numId="1" w16cid:durableId="527641191">
    <w:abstractNumId w:val="0"/>
  </w:num>
  <w:num w:numId="2" w16cid:durableId="713045711">
    <w:abstractNumId w:val="1"/>
  </w:num>
  <w:num w:numId="3" w16cid:durableId="34047150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doNotDisplayPageBoundaries/>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C4BC4"/>
    <w:rsid w:val="001211B7"/>
    <w:rsid w:val="001C42CE"/>
    <w:rsid w:val="001D3B9E"/>
    <w:rsid w:val="00315454"/>
    <w:rsid w:val="005041B8"/>
    <w:rsid w:val="00537A84"/>
    <w:rsid w:val="0059603A"/>
    <w:rsid w:val="005A1337"/>
    <w:rsid w:val="006615DE"/>
    <w:rsid w:val="00672B29"/>
    <w:rsid w:val="006F34AC"/>
    <w:rsid w:val="007C4BC4"/>
    <w:rsid w:val="007F6E3F"/>
    <w:rsid w:val="008733F0"/>
    <w:rsid w:val="00914210"/>
    <w:rsid w:val="009260C1"/>
    <w:rsid w:val="00B261D5"/>
    <w:rsid w:val="00B655E8"/>
    <w:rsid w:val="00C317B4"/>
    <w:rsid w:val="00CD747E"/>
    <w:rsid w:val="00E65AFB"/>
    <w:rsid w:val="00E6782E"/>
  </w:rsids>
  <m:mathPr>
    <m:mathFont m:val="Cambria Math"/>
    <m:brkBin m:val="before"/>
    <m:brkBinSub m:val="--"/>
    <m:smallFrac m:val="0"/>
    <m:dispDef/>
    <m:lMargin m:val="0"/>
    <m:rMargin m:val="0"/>
    <m:defJc m:val="centerGroup"/>
    <m:wrapIndent m:val="1440"/>
    <m:intLim m:val="subSup"/>
    <m:naryLim m:val="undOvr"/>
  </m:mathPr>
  <w:themeFontLang w:val="id-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5FBD767"/>
  <w15:docId w15:val="{1FD45446-FB60-824A-A2E3-0B3525FFD9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Calibri"/>
        <w:sz w:val="22"/>
        <w:szCs w:val="22"/>
        <w:lang w:val="en-US" w:eastAsia="id-ID"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E2E72"/>
  </w:style>
  <w:style w:type="paragraph" w:styleId="Judul1">
    <w:name w:val="heading 1"/>
    <w:basedOn w:val="Judul2"/>
    <w:next w:val="Normal"/>
    <w:link w:val="Judul1KAR"/>
    <w:uiPriority w:val="9"/>
    <w:qFormat/>
    <w:rsid w:val="00D77643"/>
    <w:pPr>
      <w:spacing w:line="360" w:lineRule="auto"/>
      <w:jc w:val="left"/>
      <w:outlineLvl w:val="0"/>
    </w:pPr>
    <w:rPr>
      <w:szCs w:val="20"/>
    </w:rPr>
  </w:style>
  <w:style w:type="paragraph" w:styleId="Judul2">
    <w:name w:val="heading 2"/>
    <w:basedOn w:val="Normal"/>
    <w:next w:val="Normal"/>
    <w:link w:val="Judul2KAR"/>
    <w:uiPriority w:val="9"/>
    <w:unhideWhenUsed/>
    <w:qFormat/>
    <w:rsid w:val="004A4F71"/>
    <w:pPr>
      <w:spacing w:after="0" w:line="240" w:lineRule="auto"/>
      <w:jc w:val="center"/>
      <w:outlineLvl w:val="1"/>
    </w:pPr>
    <w:rPr>
      <w:rFonts w:ascii="Arial" w:hAnsi="Arial" w:cs="Arial"/>
      <w:b/>
      <w:bCs/>
      <w:sz w:val="24"/>
      <w:lang w:val="id-ID"/>
    </w:rPr>
  </w:style>
  <w:style w:type="paragraph" w:styleId="Judul3">
    <w:name w:val="heading 3"/>
    <w:basedOn w:val="Normal"/>
    <w:next w:val="Normal"/>
    <w:link w:val="Judul3KAR"/>
    <w:uiPriority w:val="9"/>
    <w:unhideWhenUsed/>
    <w:qFormat/>
    <w:rsid w:val="004A4F71"/>
    <w:pPr>
      <w:spacing w:after="0"/>
      <w:jc w:val="both"/>
      <w:outlineLvl w:val="2"/>
    </w:pPr>
    <w:rPr>
      <w:rFonts w:ascii="Arial" w:hAnsi="Arial" w:cs="Arial"/>
      <w:b/>
      <w:color w:val="000000" w:themeColor="text1"/>
      <w:sz w:val="20"/>
    </w:rPr>
  </w:style>
  <w:style w:type="paragraph" w:styleId="Judul4">
    <w:name w:val="heading 4"/>
    <w:basedOn w:val="Normal"/>
    <w:next w:val="Normal"/>
    <w:link w:val="Judul4KAR"/>
    <w:uiPriority w:val="9"/>
    <w:semiHidden/>
    <w:unhideWhenUsed/>
    <w:qFormat/>
    <w:rsid w:val="004A4F71"/>
    <w:pPr>
      <w:widowControl w:val="0"/>
      <w:autoSpaceDE w:val="0"/>
      <w:autoSpaceDN w:val="0"/>
      <w:adjustRightInd w:val="0"/>
      <w:spacing w:before="32" w:after="0" w:line="240" w:lineRule="auto"/>
      <w:outlineLvl w:val="3"/>
    </w:pPr>
    <w:rPr>
      <w:rFonts w:ascii="Arial" w:hAnsi="Arial" w:cs="Arial"/>
      <w:b/>
      <w:bCs/>
      <w:color w:val="000000"/>
    </w:rPr>
  </w:style>
  <w:style w:type="paragraph" w:styleId="Judul5">
    <w:name w:val="heading 5"/>
    <w:basedOn w:val="Normal"/>
    <w:next w:val="Normal"/>
    <w:uiPriority w:val="9"/>
    <w:semiHidden/>
    <w:unhideWhenUsed/>
    <w:qFormat/>
    <w:pPr>
      <w:keepNext/>
      <w:keepLines/>
      <w:spacing w:before="220" w:after="40"/>
      <w:outlineLvl w:val="4"/>
    </w:pPr>
    <w:rPr>
      <w:b/>
    </w:rPr>
  </w:style>
  <w:style w:type="paragraph" w:styleId="Judul6">
    <w:name w:val="heading 6"/>
    <w:basedOn w:val="Normal"/>
    <w:next w:val="Normal"/>
    <w:uiPriority w:val="9"/>
    <w:semiHidden/>
    <w:unhideWhenUsed/>
    <w:qFormat/>
    <w:pPr>
      <w:keepNext/>
      <w:keepLines/>
      <w:spacing w:before="200" w:after="40"/>
      <w:outlineLvl w:val="5"/>
    </w:pPr>
    <w:rPr>
      <w:b/>
      <w:sz w:val="20"/>
      <w:szCs w:val="20"/>
    </w:rPr>
  </w:style>
  <w:style w:type="character" w:default="1" w:styleId="FontParagrafDefaul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TidakAdaDaftar">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Judul">
    <w:name w:val="Title"/>
    <w:basedOn w:val="Normal"/>
    <w:next w:val="Normal"/>
    <w:uiPriority w:val="10"/>
    <w:qFormat/>
    <w:pPr>
      <w:keepNext/>
      <w:keepLines/>
      <w:spacing w:before="480" w:after="120"/>
    </w:pPr>
    <w:rPr>
      <w:b/>
      <w:sz w:val="72"/>
      <w:szCs w:val="72"/>
    </w:rPr>
  </w:style>
  <w:style w:type="character" w:styleId="Hyperlink">
    <w:name w:val="Hyperlink"/>
    <w:uiPriority w:val="99"/>
    <w:unhideWhenUsed/>
    <w:rsid w:val="00401F66"/>
    <w:rPr>
      <w:color w:val="0000FF"/>
      <w:u w:val="single"/>
    </w:rPr>
  </w:style>
  <w:style w:type="paragraph" w:styleId="DaftarParagraf">
    <w:name w:val="List Paragraph"/>
    <w:basedOn w:val="Normal"/>
    <w:uiPriority w:val="34"/>
    <w:qFormat/>
    <w:rsid w:val="005C70FF"/>
    <w:pPr>
      <w:ind w:left="720"/>
      <w:contextualSpacing/>
    </w:pPr>
  </w:style>
  <w:style w:type="character" w:styleId="SebutanHTML">
    <w:name w:val="HTML Cite"/>
    <w:uiPriority w:val="99"/>
    <w:semiHidden/>
    <w:unhideWhenUsed/>
    <w:rsid w:val="00EE6BC0"/>
    <w:rPr>
      <w:i/>
      <w:iCs/>
    </w:rPr>
  </w:style>
  <w:style w:type="paragraph" w:styleId="HTMLSudahDiformat">
    <w:name w:val="HTML Preformatted"/>
    <w:basedOn w:val="Normal"/>
    <w:link w:val="HTMLSudahDiformatKAR"/>
    <w:uiPriority w:val="99"/>
    <w:semiHidden/>
    <w:unhideWhenUsed/>
    <w:rsid w:val="008F13D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sz w:val="20"/>
      <w:szCs w:val="20"/>
    </w:rPr>
  </w:style>
  <w:style w:type="character" w:customStyle="1" w:styleId="HTMLSudahDiformatKAR">
    <w:name w:val="HTML Sudah Diformat KAR"/>
    <w:link w:val="HTMLSudahDiformat"/>
    <w:uiPriority w:val="99"/>
    <w:semiHidden/>
    <w:rsid w:val="008F13D6"/>
    <w:rPr>
      <w:rFonts w:ascii="Courier New" w:eastAsia="Times New Roman" w:hAnsi="Courier New" w:cs="Courier New"/>
    </w:rPr>
  </w:style>
  <w:style w:type="character" w:customStyle="1" w:styleId="st">
    <w:name w:val="st"/>
    <w:rsid w:val="00ED1E0B"/>
  </w:style>
  <w:style w:type="character" w:styleId="Penekanan">
    <w:name w:val="Emphasis"/>
    <w:uiPriority w:val="20"/>
    <w:qFormat/>
    <w:rsid w:val="00ED1E0B"/>
    <w:rPr>
      <w:i/>
      <w:iCs/>
    </w:rPr>
  </w:style>
  <w:style w:type="paragraph" w:customStyle="1" w:styleId="HEPIREFERENCES">
    <w:name w:val="HEPI_REFERENCES"/>
    <w:basedOn w:val="Normal"/>
    <w:qFormat/>
    <w:rsid w:val="000118B9"/>
    <w:pPr>
      <w:spacing w:after="120" w:line="240" w:lineRule="auto"/>
      <w:ind w:left="567" w:hanging="567"/>
      <w:jc w:val="both"/>
    </w:pPr>
    <w:rPr>
      <w:rFonts w:ascii="Garamond" w:hAnsi="Garamond"/>
      <w:sz w:val="24"/>
      <w:lang w:val="id-ID"/>
    </w:rPr>
  </w:style>
  <w:style w:type="table" w:customStyle="1" w:styleId="LightShading1">
    <w:name w:val="Light Shading1"/>
    <w:basedOn w:val="TabelNormal"/>
    <w:uiPriority w:val="60"/>
    <w:rsid w:val="00966FC3"/>
    <w:rPr>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styleId="Header">
    <w:name w:val="header"/>
    <w:basedOn w:val="Normal"/>
    <w:link w:val="HeaderKAR"/>
    <w:uiPriority w:val="99"/>
    <w:unhideWhenUsed/>
    <w:rsid w:val="004B0FE3"/>
    <w:pPr>
      <w:tabs>
        <w:tab w:val="center" w:pos="4680"/>
        <w:tab w:val="right" w:pos="9360"/>
      </w:tabs>
    </w:pPr>
  </w:style>
  <w:style w:type="character" w:customStyle="1" w:styleId="HeaderKAR">
    <w:name w:val="Header KAR"/>
    <w:basedOn w:val="FontParagrafDefault"/>
    <w:link w:val="Header"/>
    <w:uiPriority w:val="99"/>
    <w:rsid w:val="004B0FE3"/>
    <w:rPr>
      <w:sz w:val="22"/>
      <w:szCs w:val="22"/>
    </w:rPr>
  </w:style>
  <w:style w:type="paragraph" w:styleId="Footer">
    <w:name w:val="footer"/>
    <w:basedOn w:val="Normal"/>
    <w:link w:val="FooterKAR"/>
    <w:uiPriority w:val="99"/>
    <w:unhideWhenUsed/>
    <w:rsid w:val="004B0FE3"/>
    <w:pPr>
      <w:tabs>
        <w:tab w:val="center" w:pos="4680"/>
        <w:tab w:val="right" w:pos="9360"/>
      </w:tabs>
    </w:pPr>
  </w:style>
  <w:style w:type="character" w:customStyle="1" w:styleId="FooterKAR">
    <w:name w:val="Footer KAR"/>
    <w:basedOn w:val="FontParagrafDefault"/>
    <w:link w:val="Footer"/>
    <w:uiPriority w:val="99"/>
    <w:rsid w:val="004B0FE3"/>
    <w:rPr>
      <w:sz w:val="22"/>
      <w:szCs w:val="22"/>
    </w:rPr>
  </w:style>
  <w:style w:type="paragraph" w:styleId="TeksBalon">
    <w:name w:val="Balloon Text"/>
    <w:basedOn w:val="Normal"/>
    <w:link w:val="TeksBalonKAR"/>
    <w:uiPriority w:val="99"/>
    <w:semiHidden/>
    <w:unhideWhenUsed/>
    <w:rsid w:val="00837A2F"/>
    <w:pPr>
      <w:spacing w:after="0" w:line="240" w:lineRule="auto"/>
    </w:pPr>
    <w:rPr>
      <w:rFonts w:ascii="Tahoma" w:hAnsi="Tahoma" w:cs="Tahoma"/>
      <w:sz w:val="16"/>
      <w:szCs w:val="16"/>
    </w:rPr>
  </w:style>
  <w:style w:type="character" w:customStyle="1" w:styleId="TeksBalonKAR">
    <w:name w:val="Teks Balon KAR"/>
    <w:basedOn w:val="FontParagrafDefault"/>
    <w:link w:val="TeksBalon"/>
    <w:uiPriority w:val="99"/>
    <w:semiHidden/>
    <w:rsid w:val="00837A2F"/>
    <w:rPr>
      <w:rFonts w:ascii="Tahoma" w:hAnsi="Tahoma" w:cs="Tahoma"/>
      <w:sz w:val="16"/>
      <w:szCs w:val="16"/>
    </w:rPr>
  </w:style>
  <w:style w:type="table" w:styleId="KisiTabel">
    <w:name w:val="Table Grid"/>
    <w:basedOn w:val="TabelNormal"/>
    <w:uiPriority w:val="59"/>
    <w:rsid w:val="00FD0DF1"/>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IndenTeksIsi">
    <w:name w:val="Body Text Indent"/>
    <w:basedOn w:val="Normal"/>
    <w:link w:val="IndenTeksIsiKAR"/>
    <w:uiPriority w:val="99"/>
    <w:unhideWhenUsed/>
    <w:rsid w:val="00931A7A"/>
    <w:pPr>
      <w:spacing w:after="0" w:line="480" w:lineRule="auto"/>
      <w:ind w:firstLine="748"/>
      <w:jc w:val="both"/>
    </w:pPr>
    <w:rPr>
      <w:rFonts w:ascii="Times New Roman" w:eastAsia="Times New Roman" w:hAnsi="Times New Roman"/>
      <w:sz w:val="24"/>
      <w:szCs w:val="24"/>
      <w:lang w:val="id-ID"/>
    </w:rPr>
  </w:style>
  <w:style w:type="character" w:customStyle="1" w:styleId="IndenTeksIsiKAR">
    <w:name w:val="Inden Teks Isi KAR"/>
    <w:basedOn w:val="FontParagrafDefault"/>
    <w:link w:val="IndenTeksIsi"/>
    <w:uiPriority w:val="99"/>
    <w:rsid w:val="00931A7A"/>
    <w:rPr>
      <w:rFonts w:ascii="Times New Roman" w:eastAsia="Times New Roman" w:hAnsi="Times New Roman"/>
      <w:sz w:val="24"/>
      <w:szCs w:val="24"/>
      <w:lang w:val="id-ID"/>
    </w:rPr>
  </w:style>
  <w:style w:type="character" w:customStyle="1" w:styleId="head">
    <w:name w:val="head"/>
    <w:basedOn w:val="FontParagrafDefault"/>
    <w:rsid w:val="00931A7A"/>
    <w:rPr>
      <w:rFonts w:ascii="Times New Roman" w:hAnsi="Times New Roman" w:cs="Times New Roman" w:hint="default"/>
    </w:rPr>
  </w:style>
  <w:style w:type="paragraph" w:styleId="TidakAdaSpasi">
    <w:name w:val="No Spacing"/>
    <w:uiPriority w:val="1"/>
    <w:qFormat/>
    <w:rsid w:val="00883F92"/>
    <w:rPr>
      <w:lang w:val="id-ID"/>
    </w:rPr>
  </w:style>
  <w:style w:type="paragraph" w:styleId="NormalWeb">
    <w:name w:val="Normal (Web)"/>
    <w:basedOn w:val="Normal"/>
    <w:uiPriority w:val="99"/>
    <w:unhideWhenUsed/>
    <w:rsid w:val="00883F92"/>
    <w:pPr>
      <w:spacing w:before="100" w:beforeAutospacing="1" w:after="100" w:afterAutospacing="1" w:line="240" w:lineRule="auto"/>
    </w:pPr>
    <w:rPr>
      <w:rFonts w:ascii="Times New Roman" w:eastAsia="Times New Roman" w:hAnsi="Times New Roman"/>
      <w:sz w:val="24"/>
      <w:szCs w:val="24"/>
    </w:rPr>
  </w:style>
  <w:style w:type="character" w:customStyle="1" w:styleId="notranslate">
    <w:name w:val="notranslate"/>
    <w:basedOn w:val="FontParagrafDefault"/>
    <w:rsid w:val="00883F92"/>
  </w:style>
  <w:style w:type="character" w:styleId="ReferensiKomentar">
    <w:name w:val="annotation reference"/>
    <w:basedOn w:val="FontParagrafDefault"/>
    <w:uiPriority w:val="99"/>
    <w:rsid w:val="00E26672"/>
    <w:rPr>
      <w:rFonts w:cs="Times New Roman"/>
      <w:sz w:val="16"/>
      <w:szCs w:val="16"/>
    </w:rPr>
  </w:style>
  <w:style w:type="paragraph" w:styleId="TeksKomentar">
    <w:name w:val="annotation text"/>
    <w:basedOn w:val="Normal"/>
    <w:link w:val="TeksKomentarKAR"/>
    <w:uiPriority w:val="99"/>
    <w:rsid w:val="00E26672"/>
    <w:pPr>
      <w:spacing w:line="240" w:lineRule="auto"/>
    </w:pPr>
    <w:rPr>
      <w:rFonts w:eastAsia="Times New Roman"/>
      <w:sz w:val="20"/>
      <w:szCs w:val="20"/>
    </w:rPr>
  </w:style>
  <w:style w:type="character" w:customStyle="1" w:styleId="TeksKomentarKAR">
    <w:name w:val="Teks Komentar KAR"/>
    <w:basedOn w:val="FontParagrafDefault"/>
    <w:link w:val="TeksKomentar"/>
    <w:uiPriority w:val="99"/>
    <w:rsid w:val="00E26672"/>
    <w:rPr>
      <w:rFonts w:eastAsia="Times New Roman"/>
    </w:rPr>
  </w:style>
  <w:style w:type="character" w:customStyle="1" w:styleId="Judul1KAR">
    <w:name w:val="Judul 1 KAR"/>
    <w:basedOn w:val="FontParagrafDefault"/>
    <w:link w:val="Judul1"/>
    <w:uiPriority w:val="9"/>
    <w:rsid w:val="00D77643"/>
    <w:rPr>
      <w:rFonts w:ascii="Arial" w:hAnsi="Arial" w:cs="Arial"/>
      <w:b/>
      <w:bCs/>
      <w:sz w:val="24"/>
      <w:lang w:val="id-ID"/>
    </w:rPr>
  </w:style>
  <w:style w:type="character" w:customStyle="1" w:styleId="Judul2KAR">
    <w:name w:val="Judul 2 KAR"/>
    <w:basedOn w:val="FontParagrafDefault"/>
    <w:link w:val="Judul2"/>
    <w:uiPriority w:val="9"/>
    <w:rsid w:val="004A4F71"/>
    <w:rPr>
      <w:rFonts w:ascii="Arial" w:hAnsi="Arial" w:cs="Arial"/>
      <w:b/>
      <w:bCs/>
      <w:sz w:val="24"/>
      <w:szCs w:val="22"/>
      <w:lang w:val="id-ID"/>
    </w:rPr>
  </w:style>
  <w:style w:type="character" w:customStyle="1" w:styleId="Judul3KAR">
    <w:name w:val="Judul 3 KAR"/>
    <w:basedOn w:val="FontParagrafDefault"/>
    <w:link w:val="Judul3"/>
    <w:uiPriority w:val="9"/>
    <w:rsid w:val="004A4F71"/>
    <w:rPr>
      <w:rFonts w:ascii="Arial" w:hAnsi="Arial" w:cs="Arial"/>
      <w:b/>
      <w:color w:val="000000" w:themeColor="text1"/>
      <w:szCs w:val="22"/>
    </w:rPr>
  </w:style>
  <w:style w:type="character" w:customStyle="1" w:styleId="Judul4KAR">
    <w:name w:val="Judul 4 KAR"/>
    <w:basedOn w:val="FontParagrafDefault"/>
    <w:link w:val="Judul4"/>
    <w:uiPriority w:val="9"/>
    <w:rsid w:val="004A4F71"/>
    <w:rPr>
      <w:rFonts w:ascii="Arial" w:hAnsi="Arial" w:cs="Arial"/>
      <w:b/>
      <w:bCs/>
      <w:color w:val="000000"/>
      <w:sz w:val="22"/>
      <w:szCs w:val="22"/>
    </w:rPr>
  </w:style>
  <w:style w:type="paragraph" w:styleId="Subjudul">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elNormal"/>
    <w:rPr>
      <w:color w:val="000000"/>
    </w:rPr>
    <w:tblPr>
      <w:tblStyleRowBandSize w:val="1"/>
      <w:tblStyleColBandSize w:val="1"/>
    </w:tblPr>
  </w:style>
  <w:style w:type="table" w:customStyle="1" w:styleId="a0">
    <w:basedOn w:val="TabelNormal"/>
    <w:rPr>
      <w:color w:val="000000"/>
    </w:rPr>
    <w:tblPr>
      <w:tblStyleRowBandSize w:val="1"/>
      <w:tblStyleColBandSize w:val="1"/>
    </w:tblPr>
  </w:style>
  <w:style w:type="table" w:customStyle="1" w:styleId="a1">
    <w:basedOn w:val="TabelNormal"/>
    <w:rPr>
      <w:color w:val="000000"/>
    </w:rPr>
    <w:tblPr>
      <w:tblStyleRowBandSize w:val="1"/>
      <w:tblStyleColBandSize w:val="1"/>
    </w:tblPr>
  </w:style>
  <w:style w:type="table" w:customStyle="1" w:styleId="a2">
    <w:basedOn w:val="TabelNormal"/>
    <w:tblPr>
      <w:tblStyleRowBandSize w:val="1"/>
      <w:tblStyleColBandSize w:val="1"/>
      <w:tblCellMar>
        <w:left w:w="115" w:type="dxa"/>
        <w:right w:w="115" w:type="dxa"/>
      </w:tblCellMar>
    </w:tblPr>
  </w:style>
  <w:style w:type="table" w:customStyle="1" w:styleId="a3">
    <w:basedOn w:val="TabelNormal"/>
    <w:tblPr>
      <w:tblStyleRowBandSize w:val="1"/>
      <w:tblStyleColBandSize w:val="1"/>
      <w:tblCellMar>
        <w:left w:w="115" w:type="dxa"/>
        <w:right w:w="115" w:type="dxa"/>
      </w:tblCellMar>
    </w:tblPr>
  </w:style>
  <w:style w:type="table" w:customStyle="1" w:styleId="a4">
    <w:basedOn w:val="TabelNormal"/>
    <w:rPr>
      <w:color w:val="000000"/>
    </w:rPr>
    <w:tblPr>
      <w:tblStyleRowBandSize w:val="1"/>
      <w:tblStyleColBandSize w:val="1"/>
    </w:tblPr>
  </w:style>
  <w:style w:type="table" w:customStyle="1" w:styleId="a5">
    <w:basedOn w:val="TabelNormal"/>
    <w:rPr>
      <w:color w:val="000000"/>
    </w:rPr>
    <w:tblPr>
      <w:tblStyleRowBandSize w:val="1"/>
      <w:tblStyleColBandSize w:val="1"/>
    </w:tblPr>
  </w:style>
  <w:style w:type="table" w:customStyle="1" w:styleId="a6">
    <w:basedOn w:val="TabelNormal"/>
    <w:rPr>
      <w:color w:val="000000"/>
    </w:rPr>
    <w:tblPr>
      <w:tblStyleRowBandSize w:val="1"/>
      <w:tblStyleColBandSize w:val="1"/>
    </w:tblPr>
  </w:style>
  <w:style w:type="table" w:styleId="TabelBiasa2">
    <w:name w:val="Plain Table 2"/>
    <w:basedOn w:val="TabelNormal"/>
    <w:uiPriority w:val="42"/>
    <w:rsid w:val="003148FC"/>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customStyle="1" w:styleId="a7">
    <w:basedOn w:val="TabelNormal"/>
    <w:pPr>
      <w:spacing w:after="0" w:line="240" w:lineRule="auto"/>
    </w:pPr>
    <w:rPr>
      <w:color w:val="000000"/>
    </w:rPr>
    <w:tblPr>
      <w:tblStyleRowBandSize w:val="1"/>
      <w:tblStyleColBandSize w:val="1"/>
      <w:tblCellMar>
        <w:left w:w="115" w:type="dxa"/>
        <w:right w:w="115" w:type="dxa"/>
      </w:tblCellMar>
    </w:tblPr>
    <w:tblStylePr w:type="firstRow">
      <w:rPr>
        <w:b/>
      </w:rPr>
      <w:tblPr/>
      <w:tcPr>
        <w:tcBorders>
          <w:bottom w:val="single" w:sz="4" w:space="0" w:color="7F7F7F"/>
        </w:tcBorders>
      </w:tcPr>
    </w:tblStylePr>
    <w:tblStylePr w:type="lastRow">
      <w:rPr>
        <w:b/>
      </w:rPr>
      <w:tblPr/>
      <w:tcPr>
        <w:tcBorders>
          <w:top w:val="single" w:sz="4" w:space="0" w:color="7F7F7F"/>
        </w:tcBorders>
      </w:tcPr>
    </w:tblStylePr>
    <w:tblStylePr w:type="firstCol">
      <w:rPr>
        <w:b/>
      </w:rPr>
    </w:tblStylePr>
    <w:tblStylePr w:type="lastCol">
      <w:rPr>
        <w:b/>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table" w:customStyle="1" w:styleId="a8">
    <w:basedOn w:val="TabelNormal"/>
    <w:pPr>
      <w:spacing w:after="0" w:line="240" w:lineRule="auto"/>
    </w:pPr>
    <w:rPr>
      <w:color w:val="000000"/>
    </w:rPr>
    <w:tblPr>
      <w:tblStyleRowBandSize w:val="1"/>
      <w:tblStyleColBandSize w:val="1"/>
      <w:tblCellMar>
        <w:left w:w="115" w:type="dxa"/>
        <w:right w:w="115" w:type="dxa"/>
      </w:tblCellMar>
    </w:tblPr>
    <w:tblStylePr w:type="firstRow">
      <w:rPr>
        <w:b/>
      </w:rPr>
      <w:tblPr/>
      <w:tcPr>
        <w:tcBorders>
          <w:bottom w:val="single" w:sz="4" w:space="0" w:color="7F7F7F"/>
        </w:tcBorders>
      </w:tcPr>
    </w:tblStylePr>
    <w:tblStylePr w:type="lastRow">
      <w:rPr>
        <w:b/>
      </w:rPr>
      <w:tblPr/>
      <w:tcPr>
        <w:tcBorders>
          <w:top w:val="single" w:sz="4" w:space="0" w:color="7F7F7F"/>
        </w:tcBorders>
      </w:tcPr>
    </w:tblStylePr>
    <w:tblStylePr w:type="firstCol">
      <w:rPr>
        <w:b/>
      </w:rPr>
    </w:tblStylePr>
    <w:tblStylePr w:type="lastCol">
      <w:rPr>
        <w:b/>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table" w:customStyle="1" w:styleId="a9">
    <w:basedOn w:val="TabelNormal"/>
    <w:pPr>
      <w:spacing w:after="0" w:line="240" w:lineRule="auto"/>
    </w:pPr>
    <w:rPr>
      <w:color w:val="000000"/>
    </w:rPr>
    <w:tblPr>
      <w:tblStyleRowBandSize w:val="1"/>
      <w:tblStyleColBandSize w:val="1"/>
      <w:tblCellMar>
        <w:left w:w="115" w:type="dxa"/>
        <w:right w:w="115" w:type="dxa"/>
      </w:tblCellMar>
    </w:tblPr>
  </w:style>
  <w:style w:type="character" w:styleId="Kuat">
    <w:name w:val="Strong"/>
    <w:basedOn w:val="FontParagrafDefault"/>
    <w:uiPriority w:val="22"/>
    <w:qFormat/>
    <w:rsid w:val="005A1337"/>
    <w:rPr>
      <w:b/>
      <w:bCs/>
    </w:rPr>
  </w:style>
  <w:style w:type="character" w:styleId="KodeHTML">
    <w:name w:val="HTML Code"/>
    <w:basedOn w:val="FontParagrafDefault"/>
    <w:uiPriority w:val="99"/>
    <w:semiHidden/>
    <w:unhideWhenUsed/>
    <w:rsid w:val="005A1337"/>
    <w:rPr>
      <w:rFonts w:ascii="Courier New" w:eastAsia="Times New Roman" w:hAnsi="Courier New" w:cs="Courier New"/>
      <w:sz w:val="20"/>
      <w:szCs w:val="20"/>
    </w:rPr>
  </w:style>
  <w:style w:type="character" w:styleId="HiperlinkyangDiikuti">
    <w:name w:val="FollowedHyperlink"/>
    <w:basedOn w:val="FontParagrafDefault"/>
    <w:uiPriority w:val="99"/>
    <w:semiHidden/>
    <w:unhideWhenUsed/>
    <w:rsid w:val="005A1337"/>
    <w:rPr>
      <w:color w:val="800080" w:themeColor="followedHyperlink"/>
      <w:u w:val="single"/>
    </w:rPr>
  </w:style>
  <w:style w:type="character" w:styleId="SebutanYangBelumTerselesaikan">
    <w:name w:val="Unresolved Mention"/>
    <w:basedOn w:val="FontParagrafDefault"/>
    <w:uiPriority w:val="99"/>
    <w:semiHidden/>
    <w:unhideWhenUsed/>
    <w:rsid w:val="00537A8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39952580">
      <w:bodyDiv w:val="1"/>
      <w:marLeft w:val="0"/>
      <w:marRight w:val="0"/>
      <w:marTop w:val="0"/>
      <w:marBottom w:val="0"/>
      <w:divBdr>
        <w:top w:val="none" w:sz="0" w:space="0" w:color="auto"/>
        <w:left w:val="none" w:sz="0" w:space="0" w:color="auto"/>
        <w:bottom w:val="none" w:sz="0" w:space="0" w:color="auto"/>
        <w:right w:val="none" w:sz="0" w:space="0" w:color="auto"/>
      </w:divBdr>
    </w:div>
    <w:div w:id="394552527">
      <w:bodyDiv w:val="1"/>
      <w:marLeft w:val="0"/>
      <w:marRight w:val="0"/>
      <w:marTop w:val="0"/>
      <w:marBottom w:val="0"/>
      <w:divBdr>
        <w:top w:val="none" w:sz="0" w:space="0" w:color="auto"/>
        <w:left w:val="none" w:sz="0" w:space="0" w:color="auto"/>
        <w:bottom w:val="none" w:sz="0" w:space="0" w:color="auto"/>
        <w:right w:val="none" w:sz="0" w:space="0" w:color="auto"/>
      </w:divBdr>
      <w:divsChild>
        <w:div w:id="59444272">
          <w:marLeft w:val="0"/>
          <w:marRight w:val="0"/>
          <w:marTop w:val="0"/>
          <w:marBottom w:val="0"/>
          <w:divBdr>
            <w:top w:val="none" w:sz="0" w:space="0" w:color="auto"/>
            <w:left w:val="none" w:sz="0" w:space="0" w:color="auto"/>
            <w:bottom w:val="none" w:sz="0" w:space="0" w:color="auto"/>
            <w:right w:val="none" w:sz="0" w:space="0" w:color="auto"/>
          </w:divBdr>
          <w:divsChild>
            <w:div w:id="1079910659">
              <w:marLeft w:val="0"/>
              <w:marRight w:val="0"/>
              <w:marTop w:val="0"/>
              <w:marBottom w:val="0"/>
              <w:divBdr>
                <w:top w:val="none" w:sz="0" w:space="0" w:color="auto"/>
                <w:left w:val="none" w:sz="0" w:space="0" w:color="auto"/>
                <w:bottom w:val="none" w:sz="0" w:space="0" w:color="auto"/>
                <w:right w:val="none" w:sz="0" w:space="0" w:color="auto"/>
              </w:divBdr>
              <w:divsChild>
                <w:div w:id="1644777623">
                  <w:marLeft w:val="0"/>
                  <w:marRight w:val="0"/>
                  <w:marTop w:val="0"/>
                  <w:marBottom w:val="0"/>
                  <w:divBdr>
                    <w:top w:val="none" w:sz="0" w:space="0" w:color="auto"/>
                    <w:left w:val="none" w:sz="0" w:space="0" w:color="auto"/>
                    <w:bottom w:val="none" w:sz="0" w:space="0" w:color="auto"/>
                    <w:right w:val="none" w:sz="0" w:space="0" w:color="auto"/>
                  </w:divBdr>
                  <w:divsChild>
                    <w:div w:id="1868058125">
                      <w:marLeft w:val="0"/>
                      <w:marRight w:val="0"/>
                      <w:marTop w:val="0"/>
                      <w:marBottom w:val="0"/>
                      <w:divBdr>
                        <w:top w:val="none" w:sz="0" w:space="0" w:color="auto"/>
                        <w:left w:val="none" w:sz="0" w:space="0" w:color="auto"/>
                        <w:bottom w:val="none" w:sz="0" w:space="0" w:color="auto"/>
                        <w:right w:val="none" w:sz="0" w:space="0" w:color="auto"/>
                      </w:divBdr>
                      <w:divsChild>
                        <w:div w:id="2045518710">
                          <w:marLeft w:val="0"/>
                          <w:marRight w:val="0"/>
                          <w:marTop w:val="0"/>
                          <w:marBottom w:val="0"/>
                          <w:divBdr>
                            <w:top w:val="none" w:sz="0" w:space="0" w:color="auto"/>
                            <w:left w:val="none" w:sz="0" w:space="0" w:color="auto"/>
                            <w:bottom w:val="none" w:sz="0" w:space="0" w:color="auto"/>
                            <w:right w:val="none" w:sz="0" w:space="0" w:color="auto"/>
                          </w:divBdr>
                          <w:divsChild>
                            <w:div w:id="28311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71234821">
          <w:marLeft w:val="0"/>
          <w:marRight w:val="0"/>
          <w:marTop w:val="0"/>
          <w:marBottom w:val="0"/>
          <w:divBdr>
            <w:top w:val="none" w:sz="0" w:space="0" w:color="auto"/>
            <w:left w:val="none" w:sz="0" w:space="0" w:color="auto"/>
            <w:bottom w:val="none" w:sz="0" w:space="0" w:color="auto"/>
            <w:right w:val="none" w:sz="0" w:space="0" w:color="auto"/>
          </w:divBdr>
          <w:divsChild>
            <w:div w:id="1314984603">
              <w:marLeft w:val="0"/>
              <w:marRight w:val="0"/>
              <w:marTop w:val="0"/>
              <w:marBottom w:val="0"/>
              <w:divBdr>
                <w:top w:val="none" w:sz="0" w:space="0" w:color="auto"/>
                <w:left w:val="none" w:sz="0" w:space="0" w:color="auto"/>
                <w:bottom w:val="none" w:sz="0" w:space="0" w:color="auto"/>
                <w:right w:val="none" w:sz="0" w:space="0" w:color="auto"/>
              </w:divBdr>
              <w:divsChild>
                <w:div w:id="846287116">
                  <w:marLeft w:val="0"/>
                  <w:marRight w:val="0"/>
                  <w:marTop w:val="0"/>
                  <w:marBottom w:val="0"/>
                  <w:divBdr>
                    <w:top w:val="none" w:sz="0" w:space="0" w:color="auto"/>
                    <w:left w:val="none" w:sz="0" w:space="0" w:color="auto"/>
                    <w:bottom w:val="none" w:sz="0" w:space="0" w:color="auto"/>
                    <w:right w:val="none" w:sz="0" w:space="0" w:color="auto"/>
                  </w:divBdr>
                  <w:divsChild>
                    <w:div w:id="1203202948">
                      <w:marLeft w:val="0"/>
                      <w:marRight w:val="0"/>
                      <w:marTop w:val="0"/>
                      <w:marBottom w:val="0"/>
                      <w:divBdr>
                        <w:top w:val="none" w:sz="0" w:space="0" w:color="auto"/>
                        <w:left w:val="none" w:sz="0" w:space="0" w:color="auto"/>
                        <w:bottom w:val="none" w:sz="0" w:space="0" w:color="auto"/>
                        <w:right w:val="none" w:sz="0" w:space="0" w:color="auto"/>
                      </w:divBdr>
                      <w:divsChild>
                        <w:div w:id="581187069">
                          <w:marLeft w:val="0"/>
                          <w:marRight w:val="0"/>
                          <w:marTop w:val="0"/>
                          <w:marBottom w:val="0"/>
                          <w:divBdr>
                            <w:top w:val="none" w:sz="0" w:space="0" w:color="auto"/>
                            <w:left w:val="none" w:sz="0" w:space="0" w:color="auto"/>
                            <w:bottom w:val="none" w:sz="0" w:space="0" w:color="auto"/>
                            <w:right w:val="none" w:sz="0" w:space="0" w:color="auto"/>
                          </w:divBdr>
                          <w:divsChild>
                            <w:div w:id="272328889">
                              <w:marLeft w:val="0"/>
                              <w:marRight w:val="0"/>
                              <w:marTop w:val="0"/>
                              <w:marBottom w:val="0"/>
                              <w:divBdr>
                                <w:top w:val="none" w:sz="0" w:space="0" w:color="auto"/>
                                <w:left w:val="none" w:sz="0" w:space="0" w:color="auto"/>
                                <w:bottom w:val="none" w:sz="0" w:space="0" w:color="auto"/>
                                <w:right w:val="none" w:sz="0" w:space="0" w:color="auto"/>
                              </w:divBdr>
                              <w:divsChild>
                                <w:div w:id="6277799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35304344">
                      <w:marLeft w:val="0"/>
                      <w:marRight w:val="0"/>
                      <w:marTop w:val="0"/>
                      <w:marBottom w:val="0"/>
                      <w:divBdr>
                        <w:top w:val="none" w:sz="0" w:space="0" w:color="auto"/>
                        <w:left w:val="none" w:sz="0" w:space="0" w:color="auto"/>
                        <w:bottom w:val="none" w:sz="0" w:space="0" w:color="auto"/>
                        <w:right w:val="none" w:sz="0" w:space="0" w:color="auto"/>
                      </w:divBdr>
                      <w:divsChild>
                        <w:div w:id="367025725">
                          <w:marLeft w:val="0"/>
                          <w:marRight w:val="0"/>
                          <w:marTop w:val="0"/>
                          <w:marBottom w:val="0"/>
                          <w:divBdr>
                            <w:top w:val="none" w:sz="0" w:space="0" w:color="auto"/>
                            <w:left w:val="none" w:sz="0" w:space="0" w:color="auto"/>
                            <w:bottom w:val="none" w:sz="0" w:space="0" w:color="auto"/>
                            <w:right w:val="none" w:sz="0" w:space="0" w:color="auto"/>
                          </w:divBdr>
                          <w:divsChild>
                            <w:div w:id="11181847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6051584">
          <w:marLeft w:val="0"/>
          <w:marRight w:val="0"/>
          <w:marTop w:val="0"/>
          <w:marBottom w:val="0"/>
          <w:divBdr>
            <w:top w:val="none" w:sz="0" w:space="0" w:color="auto"/>
            <w:left w:val="none" w:sz="0" w:space="0" w:color="auto"/>
            <w:bottom w:val="none" w:sz="0" w:space="0" w:color="auto"/>
            <w:right w:val="none" w:sz="0" w:space="0" w:color="auto"/>
          </w:divBdr>
          <w:divsChild>
            <w:div w:id="108204076">
              <w:marLeft w:val="0"/>
              <w:marRight w:val="0"/>
              <w:marTop w:val="0"/>
              <w:marBottom w:val="0"/>
              <w:divBdr>
                <w:top w:val="none" w:sz="0" w:space="0" w:color="auto"/>
                <w:left w:val="none" w:sz="0" w:space="0" w:color="auto"/>
                <w:bottom w:val="none" w:sz="0" w:space="0" w:color="auto"/>
                <w:right w:val="none" w:sz="0" w:space="0" w:color="auto"/>
              </w:divBdr>
              <w:divsChild>
                <w:div w:id="818037004">
                  <w:marLeft w:val="0"/>
                  <w:marRight w:val="0"/>
                  <w:marTop w:val="0"/>
                  <w:marBottom w:val="0"/>
                  <w:divBdr>
                    <w:top w:val="none" w:sz="0" w:space="0" w:color="auto"/>
                    <w:left w:val="none" w:sz="0" w:space="0" w:color="auto"/>
                    <w:bottom w:val="none" w:sz="0" w:space="0" w:color="auto"/>
                    <w:right w:val="none" w:sz="0" w:space="0" w:color="auto"/>
                  </w:divBdr>
                  <w:divsChild>
                    <w:div w:id="778990845">
                      <w:marLeft w:val="0"/>
                      <w:marRight w:val="0"/>
                      <w:marTop w:val="0"/>
                      <w:marBottom w:val="0"/>
                      <w:divBdr>
                        <w:top w:val="none" w:sz="0" w:space="0" w:color="auto"/>
                        <w:left w:val="none" w:sz="0" w:space="0" w:color="auto"/>
                        <w:bottom w:val="none" w:sz="0" w:space="0" w:color="auto"/>
                        <w:right w:val="none" w:sz="0" w:space="0" w:color="auto"/>
                      </w:divBdr>
                      <w:divsChild>
                        <w:div w:id="1554078805">
                          <w:marLeft w:val="0"/>
                          <w:marRight w:val="0"/>
                          <w:marTop w:val="0"/>
                          <w:marBottom w:val="0"/>
                          <w:divBdr>
                            <w:top w:val="none" w:sz="0" w:space="0" w:color="auto"/>
                            <w:left w:val="none" w:sz="0" w:space="0" w:color="auto"/>
                            <w:bottom w:val="none" w:sz="0" w:space="0" w:color="auto"/>
                            <w:right w:val="none" w:sz="0" w:space="0" w:color="auto"/>
                          </w:divBdr>
                          <w:divsChild>
                            <w:div w:id="1173566793">
                              <w:marLeft w:val="0"/>
                              <w:marRight w:val="0"/>
                              <w:marTop w:val="0"/>
                              <w:marBottom w:val="0"/>
                              <w:divBdr>
                                <w:top w:val="none" w:sz="0" w:space="0" w:color="auto"/>
                                <w:left w:val="none" w:sz="0" w:space="0" w:color="auto"/>
                                <w:bottom w:val="none" w:sz="0" w:space="0" w:color="auto"/>
                                <w:right w:val="none" w:sz="0" w:space="0" w:color="auto"/>
                              </w:divBdr>
                              <w:divsChild>
                                <w:div w:id="1567036082">
                                  <w:marLeft w:val="0"/>
                                  <w:marRight w:val="0"/>
                                  <w:marTop w:val="0"/>
                                  <w:marBottom w:val="0"/>
                                  <w:divBdr>
                                    <w:top w:val="none" w:sz="0" w:space="0" w:color="auto"/>
                                    <w:left w:val="none" w:sz="0" w:space="0" w:color="auto"/>
                                    <w:bottom w:val="none" w:sz="0" w:space="0" w:color="auto"/>
                                    <w:right w:val="none" w:sz="0" w:space="0" w:color="auto"/>
                                  </w:divBdr>
                                </w:div>
                              </w:divsChild>
                            </w:div>
                            <w:div w:id="1514490317">
                              <w:marLeft w:val="0"/>
                              <w:marRight w:val="0"/>
                              <w:marTop w:val="0"/>
                              <w:marBottom w:val="0"/>
                              <w:divBdr>
                                <w:top w:val="none" w:sz="0" w:space="0" w:color="auto"/>
                                <w:left w:val="none" w:sz="0" w:space="0" w:color="auto"/>
                                <w:bottom w:val="none" w:sz="0" w:space="0" w:color="auto"/>
                                <w:right w:val="none" w:sz="0" w:space="0" w:color="auto"/>
                              </w:divBdr>
                              <w:divsChild>
                                <w:div w:id="1870608734">
                                  <w:marLeft w:val="0"/>
                                  <w:marRight w:val="0"/>
                                  <w:marTop w:val="0"/>
                                  <w:marBottom w:val="0"/>
                                  <w:divBdr>
                                    <w:top w:val="none" w:sz="0" w:space="0" w:color="auto"/>
                                    <w:left w:val="none" w:sz="0" w:space="0" w:color="auto"/>
                                    <w:bottom w:val="none" w:sz="0" w:space="0" w:color="auto"/>
                                    <w:right w:val="none" w:sz="0" w:space="0" w:color="auto"/>
                                  </w:divBdr>
                                  <w:divsChild>
                                    <w:div w:id="1256357369">
                                      <w:marLeft w:val="0"/>
                                      <w:marRight w:val="0"/>
                                      <w:marTop w:val="0"/>
                                      <w:marBottom w:val="0"/>
                                      <w:divBdr>
                                        <w:top w:val="none" w:sz="0" w:space="0" w:color="auto"/>
                                        <w:left w:val="none" w:sz="0" w:space="0" w:color="auto"/>
                                        <w:bottom w:val="none" w:sz="0" w:space="0" w:color="auto"/>
                                        <w:right w:val="none" w:sz="0" w:space="0" w:color="auto"/>
                                      </w:divBdr>
                                      <w:divsChild>
                                        <w:div w:id="1838231394">
                                          <w:marLeft w:val="0"/>
                                          <w:marRight w:val="0"/>
                                          <w:marTop w:val="0"/>
                                          <w:marBottom w:val="0"/>
                                          <w:divBdr>
                                            <w:top w:val="none" w:sz="0" w:space="0" w:color="auto"/>
                                            <w:left w:val="none" w:sz="0" w:space="0" w:color="auto"/>
                                            <w:bottom w:val="none" w:sz="0" w:space="0" w:color="auto"/>
                                            <w:right w:val="none" w:sz="0" w:space="0" w:color="auto"/>
                                          </w:divBdr>
                                          <w:divsChild>
                                            <w:div w:id="246964003">
                                              <w:marLeft w:val="0"/>
                                              <w:marRight w:val="0"/>
                                              <w:marTop w:val="0"/>
                                              <w:marBottom w:val="0"/>
                                              <w:divBdr>
                                                <w:top w:val="none" w:sz="0" w:space="0" w:color="auto"/>
                                                <w:left w:val="none" w:sz="0" w:space="0" w:color="auto"/>
                                                <w:bottom w:val="none" w:sz="0" w:space="0" w:color="auto"/>
                                                <w:right w:val="none" w:sz="0" w:space="0" w:color="auto"/>
                                              </w:divBdr>
                                              <w:divsChild>
                                                <w:div w:id="18029610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49128704">
                          <w:marLeft w:val="0"/>
                          <w:marRight w:val="0"/>
                          <w:marTop w:val="0"/>
                          <w:marBottom w:val="0"/>
                          <w:divBdr>
                            <w:top w:val="none" w:sz="0" w:space="0" w:color="auto"/>
                            <w:left w:val="none" w:sz="0" w:space="0" w:color="auto"/>
                            <w:bottom w:val="none" w:sz="0" w:space="0" w:color="auto"/>
                            <w:right w:val="none" w:sz="0" w:space="0" w:color="auto"/>
                          </w:divBdr>
                          <w:divsChild>
                            <w:div w:id="11181418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94313629">
      <w:bodyDiv w:val="1"/>
      <w:marLeft w:val="0"/>
      <w:marRight w:val="0"/>
      <w:marTop w:val="0"/>
      <w:marBottom w:val="0"/>
      <w:divBdr>
        <w:top w:val="none" w:sz="0" w:space="0" w:color="auto"/>
        <w:left w:val="none" w:sz="0" w:space="0" w:color="auto"/>
        <w:bottom w:val="none" w:sz="0" w:space="0" w:color="auto"/>
        <w:right w:val="none" w:sz="0" w:space="0" w:color="auto"/>
      </w:divBdr>
    </w:div>
    <w:div w:id="1104619643">
      <w:bodyDiv w:val="1"/>
      <w:marLeft w:val="0"/>
      <w:marRight w:val="0"/>
      <w:marTop w:val="0"/>
      <w:marBottom w:val="0"/>
      <w:divBdr>
        <w:top w:val="none" w:sz="0" w:space="0" w:color="auto"/>
        <w:left w:val="none" w:sz="0" w:space="0" w:color="auto"/>
        <w:bottom w:val="none" w:sz="0" w:space="0" w:color="auto"/>
        <w:right w:val="none" w:sz="0" w:space="0" w:color="auto"/>
      </w:divBdr>
    </w:div>
    <w:div w:id="1669871276">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mailto:tubagusirma@upi.edu" TargetMode="Externa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hyperlink" Target="mailto:nandangrusmana@upi.edu" TargetMode="External"/><Relationship Id="rId4" Type="http://schemas.openxmlformats.org/officeDocument/2006/relationships/settings" Target="settings.xml"/><Relationship Id="rId9" Type="http://schemas.openxmlformats.org/officeDocument/2006/relationships/hyperlink" Target="mailto:ekasakti@upi.edu" TargetMode="External"/><Relationship Id="rId14" Type="http://schemas.openxmlformats.org/officeDocument/2006/relationships/footer" Target="footer2.xml"/></Relationships>
</file>

<file path=word/_rels/header2.xml.rels><?xml version="1.0" encoding="UTF-8" standalone="yes"?>
<Relationships xmlns="http://schemas.openxmlformats.org/package/2006/relationships"><Relationship Id="rId3" Type="http://schemas.openxmlformats.org/officeDocument/2006/relationships/image" Target="media/image4.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ySMA3eJSQmO28aMJI6YEbcUg2Lg==">CgMxLjAyCGguZ2pkZ3hzMgppZC4zem55c2g3OAByITF3Y0R4VU01VUFEOG9qazBXaG9UV1BBbUdXVWlVUzBMeg==</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24</Pages>
  <Words>11987</Words>
  <Characters>68329</Characters>
  <Application>Microsoft Office Word</Application>
  <DocSecurity>0</DocSecurity>
  <Lines>569</Lines>
  <Paragraphs>160</Paragraphs>
  <ScaleCrop>false</ScaleCrop>
  <Company/>
  <LinksUpToDate>false</LinksUpToDate>
  <CharactersWithSpaces>80156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Annisa Warastri</dc:creator>
  <cp:lastModifiedBy>Microsoft Office User</cp:lastModifiedBy>
  <cp:revision>2</cp:revision>
  <dcterms:created xsi:type="dcterms:W3CDTF">2026-01-01T07:03:00Z</dcterms:created>
  <dcterms:modified xsi:type="dcterms:W3CDTF">2026-01-01T07:03:00Z</dcterms:modified>
</cp:coreProperties>
</file>